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C7A6824" w14:textId="789D085D" w:rsidR="00E20427" w:rsidRPr="002B63C6" w:rsidRDefault="001F6EC6" w:rsidP="002B63C6">
      <w:pPr>
        <w:jc w:val="right"/>
        <w:rPr>
          <w:i/>
          <w:iCs/>
          <w:lang w:val="pt-BR"/>
        </w:rPr>
      </w:pPr>
      <w:r w:rsidRPr="002B63C6">
        <w:rPr>
          <w:i/>
          <w:iCs/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08713FBD" wp14:editId="160C3266">
                <wp:simplePos x="0" y="0"/>
                <wp:positionH relativeFrom="page">
                  <wp:posOffset>1000125</wp:posOffset>
                </wp:positionH>
                <wp:positionV relativeFrom="page">
                  <wp:posOffset>-1106805</wp:posOffset>
                </wp:positionV>
                <wp:extent cx="1922145" cy="4011295"/>
                <wp:effectExtent l="0" t="0" r="0" b="1905"/>
                <wp:wrapNone/>
                <wp:docPr id="122366601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2145" cy="4011295"/>
                          <a:chOff x="0" y="0"/>
                          <a:chExt cx="14401" cy="28797"/>
                        </a:xfrm>
                      </wpg:grpSpPr>
                      <wps:wsp>
                        <wps:cNvPr id="1108054258" name="Retângulo: Cantos Arredondados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401" cy="2879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98D7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2417877" name="Imagem 12" descr="Desenho de uma janela&#10;&#10;Descrição gerada automaticamente com confiança baixa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55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1" y="17049"/>
                            <a:ext cx="10007" cy="96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47278B7" id="Group 1" o:spid="_x0000_s1026" style="position:absolute;margin-left:78.75pt;margin-top:-87.15pt;width:151.35pt;height:315.85pt;z-index:251659264;mso-position-horizontal-relative:page;mso-position-vertical-relative:page" coordsize="14401,287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">
                <v:roundrect id="Retângulo: Cantos Arredondados 9" o:spid="_x0000_s1027" style="position:absolute;width:14401;height:2879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" fillcolor="#98d7e5" stroked="f">
                  <v:path arrowok="t"/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2" o:spid="_x0000_s1028" type="#_x0000_t75" alt="Desenho de uma janela&#10;&#10;Descrição gerada automaticamente com confiança baixa" style="position:absolute;left:2381;top:17049;width:10007;height:96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">
                  <v:imagedata r:id="rId9" o:title="Desenho de uma janela&#10;&#10;Descrição gerada automaticamente com confiança baixa" cropbottom="16733f" grayscale="t" bilevel="t"/>
                  <o:lock v:ext="edit" aspectratio="f"/>
                </v:shape>
                <w10:wrap anchorx="page" anchory="page"/>
                <w10:anchorlock/>
              </v:group>
            </w:pict>
          </mc:Fallback>
        </mc:AlternateContent>
      </w:r>
      <w:r w:rsidRPr="002B63C6">
        <w:rPr>
          <w:i/>
          <w:iCs/>
          <w:lang w:val="pt-BR"/>
        </w:rPr>
        <w:t>Nota Técnica Observatório PUC-</w:t>
      </w:r>
      <w:r w:rsidR="008123A1" w:rsidRPr="002B63C6">
        <w:rPr>
          <w:i/>
          <w:iCs/>
          <w:lang w:val="pt-BR"/>
        </w:rPr>
        <w:t>Campinas</w:t>
      </w:r>
      <w:r w:rsidR="009B6991">
        <w:rPr>
          <w:i/>
          <w:iCs/>
          <w:lang w:val="pt-BR"/>
        </w:rPr>
        <w:t xml:space="preserve">, </w:t>
      </w:r>
      <w:r w:rsidR="00262D1D">
        <w:rPr>
          <w:i/>
          <w:iCs/>
          <w:lang w:val="pt-BR"/>
        </w:rPr>
        <w:t>20/08/2025</w:t>
      </w:r>
    </w:p>
    <w:p w14:paraId="5DA07E1A" w14:textId="77777777" w:rsidR="00676F04" w:rsidRDefault="001F6EC6" w:rsidP="0079554C">
      <w:pPr>
        <w:pStyle w:val="Ttulo1"/>
        <w:spacing w:line="240" w:lineRule="auto"/>
        <w:jc w:val="right"/>
      </w:pPr>
      <w:r w:rsidRPr="002B63C6">
        <w:t xml:space="preserve">Impactos </w:t>
      </w:r>
      <w:r w:rsidR="008423B1" w:rsidRPr="002B63C6">
        <w:t xml:space="preserve">Potenciais </w:t>
      </w:r>
      <w:r w:rsidRPr="002B63C6">
        <w:t xml:space="preserve">das </w:t>
      </w:r>
      <w:r w:rsidR="008423B1" w:rsidRPr="002B63C6">
        <w:t>Tarifas</w:t>
      </w:r>
      <w:r w:rsidRPr="002B63C6">
        <w:t xml:space="preserve"> </w:t>
      </w:r>
    </w:p>
    <w:p w14:paraId="3355C4D0" w14:textId="0AFF43A6" w:rsidR="00676F04" w:rsidRDefault="001F6EC6" w:rsidP="0079554C">
      <w:pPr>
        <w:pStyle w:val="Ttulo1"/>
        <w:spacing w:line="240" w:lineRule="auto"/>
        <w:jc w:val="right"/>
      </w:pPr>
      <w:r w:rsidRPr="002B63C6">
        <w:t xml:space="preserve">dos EUA </w:t>
      </w:r>
      <w:r w:rsidR="008423B1" w:rsidRPr="002B63C6">
        <w:t xml:space="preserve">na Região Metropolitana </w:t>
      </w:r>
    </w:p>
    <w:p w14:paraId="008C7E16" w14:textId="70C336CB" w:rsidR="002B63C6" w:rsidRPr="00676F04" w:rsidRDefault="008423B1" w:rsidP="0079554C">
      <w:pPr>
        <w:pStyle w:val="Ttulo1"/>
        <w:spacing w:line="240" w:lineRule="auto"/>
        <w:jc w:val="right"/>
        <w:rPr>
          <w:rStyle w:val="Forte"/>
        </w:rPr>
      </w:pPr>
      <w:r w:rsidRPr="002B63C6">
        <w:t>de Campina</w:t>
      </w:r>
      <w:r w:rsidR="00E20427" w:rsidRPr="002B63C6">
        <w:t>s</w:t>
      </w:r>
    </w:p>
    <w:p w14:paraId="1825984C" w14:textId="77777777" w:rsidR="0079554C" w:rsidRDefault="0079554C" w:rsidP="006B11F3">
      <w:pPr>
        <w:pStyle w:val="Ttulo2"/>
        <w:jc w:val="left"/>
        <w:rPr>
          <w:rStyle w:val="Forte"/>
          <w:b/>
          <w:bCs/>
          <w:sz w:val="24"/>
          <w:szCs w:val="24"/>
        </w:rPr>
      </w:pPr>
    </w:p>
    <w:p w14:paraId="23FCBBEB" w14:textId="77777777" w:rsidR="0079554C" w:rsidRDefault="0079554C" w:rsidP="006B11F3">
      <w:pPr>
        <w:pStyle w:val="Ttulo2"/>
        <w:jc w:val="left"/>
        <w:rPr>
          <w:rStyle w:val="Forte"/>
          <w:b/>
          <w:bCs/>
          <w:sz w:val="24"/>
          <w:szCs w:val="24"/>
        </w:rPr>
      </w:pPr>
    </w:p>
    <w:p w14:paraId="10B56249" w14:textId="75504890" w:rsidR="006B11F3" w:rsidRPr="006B11F3" w:rsidRDefault="003E66FA" w:rsidP="006B11F3">
      <w:pPr>
        <w:pStyle w:val="Ttulo2"/>
        <w:jc w:val="left"/>
        <w:rPr>
          <w:b w:val="0"/>
          <w:bCs w:val="0"/>
          <w:sz w:val="24"/>
          <w:szCs w:val="24"/>
          <w:lang w:val="pt-BR"/>
        </w:rPr>
      </w:pPr>
      <w:r w:rsidRPr="006B11F3">
        <w:rPr>
          <w:rStyle w:val="Forte"/>
          <w:b/>
          <w:bCs/>
          <w:sz w:val="24"/>
          <w:szCs w:val="24"/>
        </w:rPr>
        <w:t>Responsável</w:t>
      </w:r>
      <w:r w:rsidRPr="006B11F3">
        <w:rPr>
          <w:rStyle w:val="Forte"/>
          <w:b/>
          <w:bCs/>
          <w:sz w:val="24"/>
          <w:szCs w:val="24"/>
          <w:lang w:val="pt-BR"/>
        </w:rPr>
        <w:t xml:space="preserve"> Técnico: </w:t>
      </w:r>
      <w:r w:rsidRPr="006B11F3">
        <w:rPr>
          <w:b w:val="0"/>
          <w:bCs w:val="0"/>
          <w:sz w:val="24"/>
          <w:szCs w:val="24"/>
        </w:rPr>
        <w:br/>
        <w:t>Prof. Dr. Paulo Ricardo S. Oliveira</w:t>
      </w:r>
      <w:r w:rsidRPr="006B11F3">
        <w:rPr>
          <w:b w:val="0"/>
          <w:bCs w:val="0"/>
          <w:sz w:val="24"/>
          <w:szCs w:val="24"/>
        </w:rPr>
        <w:br/>
        <w:t>Economista, Doutor em Desenvolvimento Econômico</w:t>
      </w:r>
      <w:r w:rsidRPr="006B11F3">
        <w:rPr>
          <w:b w:val="0"/>
          <w:bCs w:val="0"/>
          <w:sz w:val="24"/>
          <w:szCs w:val="24"/>
        </w:rPr>
        <w:br/>
        <w:t>Pesquisador do Programa Institucional Observatório PUC-Campinas</w:t>
      </w:r>
      <w:r w:rsidRPr="006B11F3">
        <w:rPr>
          <w:b w:val="0"/>
          <w:bCs w:val="0"/>
          <w:sz w:val="24"/>
          <w:szCs w:val="24"/>
        </w:rPr>
        <w:br/>
        <w:t>Contato:</w:t>
      </w:r>
      <w:r w:rsidRPr="006B11F3">
        <w:rPr>
          <w:rStyle w:val="apple-converted-space"/>
          <w:b w:val="0"/>
          <w:bCs w:val="0"/>
          <w:sz w:val="24"/>
          <w:szCs w:val="24"/>
        </w:rPr>
        <w:t> </w:t>
      </w:r>
      <w:r w:rsidRPr="006B11F3">
        <w:rPr>
          <w:b w:val="0"/>
          <w:bCs w:val="0"/>
          <w:sz w:val="24"/>
          <w:szCs w:val="24"/>
        </w:rPr>
        <w:t>paulo.oliveira@puc-campinas.edu.b</w:t>
      </w:r>
      <w:r w:rsidRPr="006B11F3">
        <w:rPr>
          <w:b w:val="0"/>
          <w:bCs w:val="0"/>
          <w:sz w:val="24"/>
          <w:szCs w:val="24"/>
          <w:lang w:val="pt-BR"/>
        </w:rPr>
        <w:t>r</w:t>
      </w:r>
    </w:p>
    <w:p w14:paraId="436678E7" w14:textId="77777777" w:rsidR="00BE5764" w:rsidRDefault="00BE5764" w:rsidP="001361F6">
      <w:pPr>
        <w:pStyle w:val="Ttulo1"/>
        <w:pBdr>
          <w:bottom w:val="single" w:sz="4" w:space="1" w:color="auto"/>
        </w:pBdr>
      </w:pPr>
    </w:p>
    <w:p w14:paraId="71407029" w14:textId="53461A29" w:rsidR="005B7E22" w:rsidRPr="00BE5764" w:rsidRDefault="005B7E22" w:rsidP="00BE5764">
      <w:pPr>
        <w:pStyle w:val="Ttulo1"/>
        <w:pBdr>
          <w:bottom w:val="single" w:sz="4" w:space="1" w:color="auto"/>
        </w:pBdr>
      </w:pPr>
      <w:r w:rsidRPr="00BE5764">
        <w:t>Destaques</w:t>
      </w:r>
    </w:p>
    <w:p w14:paraId="2D668224" w14:textId="4B1A83FB" w:rsidR="001361F6" w:rsidRPr="001361F6" w:rsidRDefault="001361F6" w:rsidP="001361F6">
      <w:pPr>
        <w:rPr>
          <w:lang w:val="pt-BR"/>
        </w:rPr>
      </w:pPr>
      <w:r>
        <w:rPr>
          <w:lang w:val="pt-BR"/>
        </w:rPr>
        <w:softHyphen/>
      </w:r>
      <w:r>
        <w:rPr>
          <w:lang w:val="pt-BR"/>
        </w:rPr>
        <w:softHyphen/>
      </w:r>
      <w:r>
        <w:rPr>
          <w:lang w:val="pt-BR"/>
        </w:rPr>
        <w:softHyphen/>
      </w:r>
      <w:r>
        <w:rPr>
          <w:lang w:val="pt-BR"/>
        </w:rPr>
        <w:softHyphen/>
      </w:r>
      <w:r>
        <w:rPr>
          <w:lang w:val="pt-BR"/>
        </w:rPr>
        <w:softHyphen/>
      </w:r>
      <w:r>
        <w:rPr>
          <w:lang w:val="pt-BR"/>
        </w:rPr>
        <w:softHyphen/>
      </w:r>
      <w:r>
        <w:rPr>
          <w:lang w:val="pt-BR"/>
        </w:rPr>
        <w:softHyphen/>
      </w:r>
      <w:r>
        <w:rPr>
          <w:lang w:val="pt-BR"/>
        </w:rPr>
        <w:softHyphen/>
      </w:r>
      <w:r>
        <w:rPr>
          <w:lang w:val="pt-BR"/>
        </w:rPr>
        <w:softHyphen/>
      </w:r>
      <w:r>
        <w:rPr>
          <w:lang w:val="pt-BR"/>
        </w:rPr>
        <w:softHyphen/>
      </w:r>
      <w:r>
        <w:rPr>
          <w:lang w:val="pt-BR"/>
        </w:rPr>
        <w:softHyphen/>
      </w:r>
      <w:r>
        <w:rPr>
          <w:lang w:val="pt-BR"/>
        </w:rPr>
        <w:softHyphen/>
      </w:r>
      <w:r>
        <w:rPr>
          <w:lang w:val="pt-BR"/>
        </w:rPr>
        <w:softHyphen/>
      </w:r>
      <w:r>
        <w:rPr>
          <w:lang w:val="pt-BR"/>
        </w:rPr>
        <w:softHyphen/>
      </w:r>
      <w:r>
        <w:rPr>
          <w:lang w:val="pt-BR"/>
        </w:rPr>
        <w:softHyphen/>
      </w:r>
      <w:r>
        <w:rPr>
          <w:lang w:val="pt-BR"/>
        </w:rPr>
        <w:softHyphen/>
      </w:r>
      <w:r>
        <w:rPr>
          <w:lang w:val="pt-BR"/>
        </w:rPr>
        <w:softHyphen/>
      </w:r>
      <w:r>
        <w:rPr>
          <w:lang w:val="pt-BR"/>
        </w:rPr>
        <w:softHyphen/>
      </w:r>
      <w:r>
        <w:rPr>
          <w:lang w:val="pt-BR"/>
        </w:rPr>
        <w:softHyphen/>
      </w:r>
      <w:r>
        <w:rPr>
          <w:lang w:val="pt-BR"/>
        </w:rPr>
        <w:softHyphen/>
      </w:r>
      <w:r>
        <w:rPr>
          <w:lang w:val="pt-BR"/>
        </w:rPr>
        <w:softHyphen/>
      </w:r>
      <w:r>
        <w:rPr>
          <w:lang w:val="pt-BR"/>
        </w:rPr>
        <w:softHyphen/>
      </w:r>
      <w:r>
        <w:rPr>
          <w:lang w:val="pt-BR"/>
        </w:rPr>
        <w:softHyphen/>
      </w:r>
      <w:r>
        <w:rPr>
          <w:lang w:val="pt-BR"/>
        </w:rPr>
        <w:softHyphen/>
      </w:r>
      <w:r>
        <w:rPr>
          <w:lang w:val="pt-BR"/>
        </w:rPr>
        <w:softHyphen/>
      </w:r>
      <w:r>
        <w:rPr>
          <w:lang w:val="pt-BR"/>
        </w:rPr>
        <w:softHyphen/>
      </w:r>
      <w:r>
        <w:rPr>
          <w:lang w:val="pt-BR"/>
        </w:rPr>
        <w:softHyphen/>
      </w:r>
      <w:r>
        <w:rPr>
          <w:lang w:val="pt-BR"/>
        </w:rPr>
        <w:softHyphen/>
      </w:r>
      <w:r>
        <w:rPr>
          <w:lang w:val="pt-BR"/>
        </w:rPr>
        <w:softHyphen/>
      </w:r>
      <w:r>
        <w:rPr>
          <w:lang w:val="pt-BR"/>
        </w:rPr>
        <w:softHyphen/>
      </w:r>
      <w:r>
        <w:rPr>
          <w:lang w:val="pt-BR"/>
        </w:rPr>
        <w:softHyphen/>
      </w:r>
      <w:r>
        <w:rPr>
          <w:lang w:val="pt-BR"/>
        </w:rPr>
        <w:softHyphen/>
      </w:r>
      <w:r>
        <w:rPr>
          <w:lang w:val="pt-BR"/>
        </w:rPr>
        <w:softHyphen/>
      </w:r>
      <w:r>
        <w:rPr>
          <w:lang w:val="pt-BR"/>
        </w:rPr>
        <w:softHyphen/>
      </w:r>
      <w:r>
        <w:rPr>
          <w:lang w:val="pt-BR"/>
        </w:rPr>
        <w:softHyphen/>
      </w:r>
      <w:r>
        <w:rPr>
          <w:lang w:val="pt-BR"/>
        </w:rPr>
        <w:softHyphen/>
      </w:r>
      <w:r>
        <w:rPr>
          <w:lang w:val="pt-BR"/>
        </w:rPr>
        <w:softHyphen/>
      </w:r>
      <w:r>
        <w:rPr>
          <w:lang w:val="pt-BR"/>
        </w:rPr>
        <w:softHyphen/>
      </w:r>
      <w:r>
        <w:rPr>
          <w:lang w:val="pt-BR"/>
        </w:rPr>
        <w:softHyphen/>
      </w:r>
      <w:r>
        <w:rPr>
          <w:lang w:val="pt-BR"/>
        </w:rPr>
        <w:softHyphen/>
      </w:r>
      <w:r>
        <w:rPr>
          <w:lang w:val="pt-BR"/>
        </w:rPr>
        <w:softHyphen/>
      </w:r>
      <w:r>
        <w:rPr>
          <w:lang w:val="pt-BR"/>
        </w:rPr>
        <w:softHyphen/>
      </w:r>
      <w:r>
        <w:rPr>
          <w:lang w:val="pt-BR"/>
        </w:rPr>
        <w:softHyphen/>
      </w:r>
    </w:p>
    <w:p w14:paraId="456A5E0C" w14:textId="5100C5AB" w:rsidR="009C086D" w:rsidRPr="00DB4F05" w:rsidRDefault="009C086D" w:rsidP="00E20427">
      <w:pPr>
        <w:pStyle w:val="NormalWeb"/>
        <w:numPr>
          <w:ilvl w:val="0"/>
          <w:numId w:val="7"/>
        </w:numPr>
      </w:pPr>
      <w:r w:rsidRPr="00DB4F05">
        <w:t>Entre agosto de 2024 e julho de 2025, a RMC exportou US$ 837 milhões para os EUA e importou US$ 2,58 bilhões, com déficit de US$ 1,7 bilhão.</w:t>
      </w:r>
    </w:p>
    <w:p w14:paraId="1CA6D844" w14:textId="5CA58ACD" w:rsidR="009C086D" w:rsidRPr="00DB4F05" w:rsidRDefault="009C086D" w:rsidP="00E20427">
      <w:pPr>
        <w:pStyle w:val="NormalWeb"/>
        <w:numPr>
          <w:ilvl w:val="0"/>
          <w:numId w:val="7"/>
        </w:numPr>
      </w:pPr>
      <w:r w:rsidRPr="00DB4F05">
        <w:t>Mais da metade das exportações (US$ 493,9 milhões) está integralmente sujeita à tarifa de 50%.</w:t>
      </w:r>
      <w:r w:rsidR="00160464">
        <w:rPr>
          <w:lang w:val="pt-BR"/>
        </w:rPr>
        <w:t xml:space="preserve"> Dentre os produtos</w:t>
      </w:r>
      <w:r w:rsidR="004F1175">
        <w:rPr>
          <w:lang w:val="pt-BR"/>
        </w:rPr>
        <w:t xml:space="preserve"> estão, preparações e conservas de carne (NCM 1602), medicamentos em doses para uso terapêutico e profilático (NCM 3004)</w:t>
      </w:r>
      <w:r w:rsidR="00016ED7">
        <w:rPr>
          <w:lang w:val="pt-BR"/>
        </w:rPr>
        <w:t xml:space="preserve">, máquinas autopropulsadas de terraplanagem (NCM 8429), dentre outros. </w:t>
      </w:r>
    </w:p>
    <w:p w14:paraId="60F6FE49" w14:textId="0B8967E2" w:rsidR="009C086D" w:rsidRPr="0079554C" w:rsidRDefault="00EF4156" w:rsidP="00E20427">
      <w:pPr>
        <w:pStyle w:val="NormalWeb"/>
        <w:numPr>
          <w:ilvl w:val="0"/>
          <w:numId w:val="7"/>
        </w:numPr>
        <w:rPr>
          <w:color w:val="auto"/>
        </w:rPr>
      </w:pPr>
      <w:r>
        <w:rPr>
          <w:lang w:val="pt-BR"/>
        </w:rPr>
        <w:t>Existem s</w:t>
      </w:r>
      <w:r w:rsidR="009C086D" w:rsidRPr="00DB4F05">
        <w:t xml:space="preserve">etores altamente dependentes </w:t>
      </w:r>
      <w:r>
        <w:rPr>
          <w:lang w:val="pt-BR"/>
        </w:rPr>
        <w:t>dos mercados estado-unidenses</w:t>
      </w:r>
      <w:r w:rsidR="009C086D" w:rsidRPr="00DB4F05">
        <w:t>, como aço inoxidável</w:t>
      </w:r>
      <w:r w:rsidR="00486D35">
        <w:rPr>
          <w:lang w:val="pt-BR"/>
        </w:rPr>
        <w:t xml:space="preserve"> em formas primárias e semimanufaturados</w:t>
      </w:r>
      <w:r w:rsidR="00016ED7">
        <w:rPr>
          <w:lang w:val="pt-BR"/>
        </w:rPr>
        <w:t xml:space="preserve"> (NCM </w:t>
      </w:r>
      <w:r w:rsidR="008F0132">
        <w:rPr>
          <w:lang w:val="pt-BR"/>
        </w:rPr>
        <w:t>7218)</w:t>
      </w:r>
      <w:r w:rsidR="009C086D" w:rsidRPr="00DB4F05">
        <w:t xml:space="preserve">, </w:t>
      </w:r>
      <w:r w:rsidR="000020FB">
        <w:t>á</w:t>
      </w:r>
      <w:r w:rsidR="000020FB">
        <w:rPr>
          <w:lang w:val="pt-BR"/>
        </w:rPr>
        <w:t xml:space="preserve">cidos </w:t>
      </w:r>
      <w:r w:rsidR="000020FB">
        <w:rPr>
          <w:lang w:val="pt-BR"/>
        </w:rPr>
        <w:lastRenderedPageBreak/>
        <w:t>policarboxílicos e derivados</w:t>
      </w:r>
      <w:r w:rsidR="008F0132">
        <w:rPr>
          <w:lang w:val="pt-BR"/>
        </w:rPr>
        <w:t xml:space="preserve"> (NCM2917)</w:t>
      </w:r>
      <w:r w:rsidR="000020FB">
        <w:rPr>
          <w:lang w:val="pt-BR"/>
        </w:rPr>
        <w:t>, máquinas e aparelhos para papel e cartão</w:t>
      </w:r>
      <w:r w:rsidR="008F0132">
        <w:rPr>
          <w:lang w:val="pt-BR"/>
        </w:rPr>
        <w:t xml:space="preserve"> (NCM 8441)</w:t>
      </w:r>
      <w:r w:rsidR="000020FB">
        <w:rPr>
          <w:lang w:val="pt-BR"/>
        </w:rPr>
        <w:t xml:space="preserve">, dentre outros. </w:t>
      </w:r>
    </w:p>
    <w:p w14:paraId="4FD9F526" w14:textId="67847E87" w:rsidR="00551419" w:rsidRPr="00DB4F05" w:rsidRDefault="00551419" w:rsidP="001361F6">
      <w:pPr>
        <w:pStyle w:val="Ttulo1"/>
        <w:pBdr>
          <w:bottom w:val="single" w:sz="4" w:space="1" w:color="auto"/>
        </w:pBdr>
      </w:pPr>
      <w:r w:rsidRPr="00DB4F05">
        <w:t>Introdução</w:t>
      </w:r>
    </w:p>
    <w:p w14:paraId="7D71F399" w14:textId="77777777" w:rsidR="001361F6" w:rsidRDefault="001361F6" w:rsidP="00E20427"/>
    <w:p w14:paraId="55ACCCDC" w14:textId="6A0C85B2" w:rsidR="006B4739" w:rsidRPr="00E20427" w:rsidRDefault="006B4739" w:rsidP="001361F6">
      <w:r w:rsidRPr="00E20427">
        <w:t>O dia 1º de fevereiro marcou o início de uma série de medidas protecionistas adotadas pelos Estados Unidos, quando o presidente Donald Trump anunciou tarifas comerciais de 10% sobre produtos chineses e de 25% sobre mercadorias originárias do México e do Canadá. A partir desse momento, os Estados Unidos passaram a impor tarifas que variaram entre 10% e 50% sobre diversos parceiros comerciais, afetando, em alguns casos, grupos específicos de produtos, como aço e alumínio. Em 10 de fevereiro, por exemplo, foi anunciada uma tarifa de 25% sobre a importação desses dois insumos, com entrada em vigor prevista para o mês seguinte.</w:t>
      </w:r>
    </w:p>
    <w:p w14:paraId="613BFDA5" w14:textId="77777777" w:rsidR="006B4739" w:rsidRPr="00DB4F05" w:rsidRDefault="006B4739" w:rsidP="00E20427">
      <w:pPr>
        <w:pStyle w:val="NormalWeb"/>
      </w:pPr>
      <w:r w:rsidRPr="00DB4F05">
        <w:t>No dia 2 de abril, uma nova medida ampliou ainda mais o escopo das tarifas: todas as importações passaram a ser tarifadas em 10%, com exceção das provenientes do México e do Canadá. Em relação à China, as tarifas chegaram a 145% em determinados produtos, embora posteriormente tenham sido revistas e moderadas por meio de negociações bilaterais.</w:t>
      </w:r>
    </w:p>
    <w:p w14:paraId="557E8818" w14:textId="2D463EDF" w:rsidR="006B4739" w:rsidRPr="00DB4F05" w:rsidRDefault="006B4739" w:rsidP="00E20427">
      <w:pPr>
        <w:pStyle w:val="NormalWeb"/>
      </w:pPr>
      <w:r w:rsidRPr="00DB4F05">
        <w:t xml:space="preserve">Mais recentemente, em 6 de julho, o governo norte-americano </w:t>
      </w:r>
      <w:r w:rsidR="00A7298A" w:rsidRPr="00DB4F05">
        <w:rPr>
          <w:lang w:val="pt-BR"/>
        </w:rPr>
        <w:t xml:space="preserve">chegou a anunciar </w:t>
      </w:r>
      <w:r w:rsidRPr="00DB4F05">
        <w:t>que países que se alinhassem aos BRICS sofreriam uma tarifa adicional de 10%</w:t>
      </w:r>
      <w:r w:rsidR="00462163" w:rsidRPr="00DB4F05">
        <w:rPr>
          <w:lang w:val="pt-BR"/>
        </w:rPr>
        <w:t xml:space="preserve"> sobre os produtos </w:t>
      </w:r>
      <w:r w:rsidR="00A7298A" w:rsidRPr="00DB4F05">
        <w:rPr>
          <w:lang w:val="pt-BR"/>
        </w:rPr>
        <w:t>exportados para os Estados Unidos</w:t>
      </w:r>
      <w:r w:rsidRPr="00DB4F05">
        <w:t xml:space="preserve">. Três dias depois, em 9 de julho, o presidente </w:t>
      </w:r>
      <w:r w:rsidR="00A7298A" w:rsidRPr="00DB4F05">
        <w:rPr>
          <w:lang w:val="pt-BR"/>
        </w:rPr>
        <w:t xml:space="preserve">Donald </w:t>
      </w:r>
      <w:r w:rsidRPr="00DB4F05">
        <w:t xml:space="preserve">Trump enviou uma </w:t>
      </w:r>
      <w:r w:rsidRPr="00DB4F05">
        <w:rPr>
          <w:i/>
          <w:iCs/>
        </w:rPr>
        <w:t>carta</w:t>
      </w:r>
      <w:r w:rsidRPr="00DB4F05">
        <w:t xml:space="preserve"> ao presidente Luiz Inácio Lula da Silva informando que as exportações brasileiras</w:t>
      </w:r>
      <w:r w:rsidR="00492A27" w:rsidRPr="00DB4F05">
        <w:rPr>
          <w:lang w:val="pt-BR"/>
        </w:rPr>
        <w:t xml:space="preserve"> aos EUA</w:t>
      </w:r>
      <w:r w:rsidRPr="00DB4F05">
        <w:t xml:space="preserve"> seriam tarifadas em 50% a partir de agosto, justificando a decisão, entre outros motivo</w:t>
      </w:r>
      <w:r w:rsidR="00681026" w:rsidRPr="00DB4F05">
        <w:rPr>
          <w:lang w:val="pt-BR"/>
        </w:rPr>
        <w:t xml:space="preserve">s políticos, a supostos déficits comerciais que </w:t>
      </w:r>
      <w:r w:rsidR="00B7215C" w:rsidRPr="00DB4F05">
        <w:rPr>
          <w:lang w:val="pt-BR"/>
        </w:rPr>
        <w:t xml:space="preserve">os EUA teriam com a economia brasileira – sabe-se que </w:t>
      </w:r>
      <w:r w:rsidR="00C926B6" w:rsidRPr="00DB4F05">
        <w:rPr>
          <w:lang w:val="pt-BR"/>
        </w:rPr>
        <w:t>o saldo é, na verdade, equilibrado com predominância de superávits para os EUA</w:t>
      </w:r>
      <w:r w:rsidRPr="00DB4F05">
        <w:t>. Ao longo daquela semana, mais de 20 cartas semelhantes foram encaminhadas a chefes de Estado, com tarifas variando entre 35% e 50%.</w:t>
      </w:r>
    </w:p>
    <w:p w14:paraId="7237E2CC" w14:textId="7FFB9BAB" w:rsidR="006B4739" w:rsidRPr="00DB4F05" w:rsidRDefault="006B4739" w:rsidP="00E20427">
      <w:pPr>
        <w:pStyle w:val="NormalWeb"/>
      </w:pPr>
      <w:r w:rsidRPr="00DB4F05">
        <w:lastRenderedPageBreak/>
        <w:t>Em 30 de julho, Trump assinou</w:t>
      </w:r>
      <w:r w:rsidR="00B35622" w:rsidRPr="00DB4F05">
        <w:rPr>
          <w:lang w:val="pt-BR"/>
        </w:rPr>
        <w:t xml:space="preserve">, de fato, </w:t>
      </w:r>
      <w:r w:rsidRPr="00DB4F05">
        <w:t xml:space="preserve"> um decreto oficializando a tarifa de 50% sobre os produtos brasileiros. No entanto, uma lista com 694 produtos foi isentada da medida. Para os demais, o início da cobrança tarifária foi fixado para 6 de agosto.</w:t>
      </w:r>
    </w:p>
    <w:p w14:paraId="6504A365" w14:textId="1E537F95" w:rsidR="006B4739" w:rsidRPr="00DB4F05" w:rsidRDefault="006B4739" w:rsidP="00E20427">
      <w:pPr>
        <w:pStyle w:val="NormalWeb"/>
      </w:pPr>
      <w:r w:rsidRPr="00DB4F05">
        <w:t>Os Estados Unidos são o segundo maior parceiro comercial do Brasil, tanto nas exportações quanto nas importações. Em 2024, o Brasil exportou US$ 40,4 bilhões aos EUA e importou US$ 40,7 bilhões, gerando um déficit comercial de US$ 283,8 milhões</w:t>
      </w:r>
      <w:r w:rsidR="00A74F69" w:rsidRPr="00DB4F05">
        <w:rPr>
          <w:lang w:val="pt-BR"/>
        </w:rPr>
        <w:t xml:space="preserve"> para o Brasil</w:t>
      </w:r>
      <w:r w:rsidRPr="00DB4F05">
        <w:t>. A pauta comercial</w:t>
      </w:r>
      <w:r w:rsidR="00A74F69" w:rsidRPr="00DB4F05">
        <w:rPr>
          <w:lang w:val="pt-BR"/>
        </w:rPr>
        <w:t xml:space="preserve"> também</w:t>
      </w:r>
      <w:r w:rsidRPr="00DB4F05">
        <w:t xml:space="preserve"> é relativamente equilibrada em termos qualitativos. Entre os principais itens exportados ao mercado norte-americano estão aeronaves e suas partes, que representaram cerca de </w:t>
      </w:r>
      <w:r w:rsidR="00BE20EE">
        <w:rPr>
          <w:lang w:val="pt-BR"/>
        </w:rPr>
        <w:t>6,7</w:t>
      </w:r>
      <w:r w:rsidRPr="00DB4F05">
        <w:t>% das exportações brasileiras para os EUA em 2024. Por outro lado, o Brasil importou principalmente motores e máquinas não elétricos (exceto motores de pistão e geradores), que responderam por 15,7% do total importado.</w:t>
      </w:r>
    </w:p>
    <w:p w14:paraId="7DFD3A1F" w14:textId="309CEFA4" w:rsidR="006B4739" w:rsidRPr="00DB4F05" w:rsidRDefault="00645494" w:rsidP="00E20427">
      <w:pPr>
        <w:pStyle w:val="NormalWeb"/>
        <w:rPr>
          <w:lang w:val="pt-BR"/>
        </w:rPr>
      </w:pPr>
      <w:r w:rsidRPr="00DB4F05">
        <w:rPr>
          <w:lang w:val="pt-BR"/>
        </w:rPr>
        <w:t>Espera-se que o</w:t>
      </w:r>
      <w:r w:rsidR="007836C1" w:rsidRPr="00DB4F05">
        <w:rPr>
          <w:lang w:val="pt-BR"/>
        </w:rPr>
        <w:t xml:space="preserve"> impacto global e direto de tais medidas sobre a economia brasileira</w:t>
      </w:r>
      <w:r w:rsidRPr="00DB4F05">
        <w:rPr>
          <w:lang w:val="pt-BR"/>
        </w:rPr>
        <w:t xml:space="preserve"> seja relativamente pequeno.</w:t>
      </w:r>
      <w:r w:rsidR="007836C1" w:rsidRPr="00DB4F05">
        <w:rPr>
          <w:lang w:val="pt-BR"/>
        </w:rPr>
        <w:t xml:space="preserve"> </w:t>
      </w:r>
      <w:r w:rsidR="00F55914" w:rsidRPr="00DB4F05">
        <w:rPr>
          <w:lang w:val="pt-BR"/>
        </w:rPr>
        <w:t xml:space="preserve">Em julho de 2025, o Instituto de </w:t>
      </w:r>
      <w:r w:rsidR="00532412" w:rsidRPr="00DB4F05">
        <w:rPr>
          <w:lang w:val="pt-BR"/>
        </w:rPr>
        <w:t xml:space="preserve">Pesquisa Econômica Aplicada (IPEA) projetou o crescimento de 2,4% para 2025, e </w:t>
      </w:r>
      <w:r w:rsidR="00EA5A67" w:rsidRPr="00DB4F05">
        <w:rPr>
          <w:lang w:val="pt-BR"/>
        </w:rPr>
        <w:t xml:space="preserve">1,8% </w:t>
      </w:r>
      <w:r w:rsidR="0012099E" w:rsidRPr="00DB4F05">
        <w:rPr>
          <w:lang w:val="pt-BR"/>
        </w:rPr>
        <w:t xml:space="preserve">para 2026. </w:t>
      </w:r>
      <w:r w:rsidR="00221F88" w:rsidRPr="00DB4F05">
        <w:rPr>
          <w:lang w:val="pt-BR"/>
        </w:rPr>
        <w:t xml:space="preserve"> </w:t>
      </w:r>
      <w:r w:rsidR="00E41ABE" w:rsidRPr="00DB4F05">
        <w:rPr>
          <w:lang w:val="pt-BR"/>
        </w:rPr>
        <w:t>Após a divulgação da lista de exceções, o</w:t>
      </w:r>
      <w:r w:rsidR="0012099E" w:rsidRPr="00DB4F05">
        <w:t xml:space="preserve"> Departamento de Economia da Fiesp (Depecon), </w:t>
      </w:r>
      <w:r w:rsidR="00E41ABE" w:rsidRPr="00DB4F05">
        <w:rPr>
          <w:lang w:val="pt-BR"/>
        </w:rPr>
        <w:t>projetou perda de crescimento em</w:t>
      </w:r>
      <w:r w:rsidR="0012099E" w:rsidRPr="00DB4F05">
        <w:t xml:space="preserve"> 0,20 p.p. no </w:t>
      </w:r>
      <w:r w:rsidR="00531C56" w:rsidRPr="00DB4F05">
        <w:t xml:space="preserve">ano, </w:t>
      </w:r>
      <w:r w:rsidR="00531C56" w:rsidRPr="00DB4F05">
        <w:rPr>
          <w:lang w:val="pt-BR"/>
        </w:rPr>
        <w:t>0</w:t>
      </w:r>
      <w:r w:rsidR="0012099E" w:rsidRPr="00DB4F05">
        <w:t>,38 p.p. em 2026 (Depecon/Fiesp, 2025</w:t>
      </w:r>
      <w:r w:rsidR="008E3B0A">
        <w:rPr>
          <w:lang w:val="pt-BR"/>
        </w:rPr>
        <w:t>)</w:t>
      </w:r>
      <w:r w:rsidR="00AF53BC" w:rsidRPr="00DB4F05">
        <w:rPr>
          <w:lang w:val="pt-BR"/>
        </w:rPr>
        <w:t>.</w:t>
      </w:r>
    </w:p>
    <w:p w14:paraId="56FC5D3D" w14:textId="77777777" w:rsidR="00440C74" w:rsidRPr="00DB4F05" w:rsidRDefault="006B4739" w:rsidP="00E20427">
      <w:pPr>
        <w:pStyle w:val="NormalWeb"/>
      </w:pPr>
      <w:r w:rsidRPr="00DB4F05">
        <w:t>Diante desse cenário, surgem questões fundamentais</w:t>
      </w:r>
      <w:r w:rsidR="00AF53BC" w:rsidRPr="00DB4F05">
        <w:rPr>
          <w:lang w:val="pt-BR"/>
        </w:rPr>
        <w:t xml:space="preserve"> sobre a economia regional</w:t>
      </w:r>
      <w:r w:rsidRPr="00DB4F05">
        <w:t xml:space="preserve">: como avaliar os impactos regionais das tarifas comerciais? Quais grupos de produtos devem ser mais afetados na escala local? </w:t>
      </w:r>
    </w:p>
    <w:p w14:paraId="12E57D90" w14:textId="592FD0B7" w:rsidR="00836077" w:rsidRDefault="006B4739" w:rsidP="001361F6">
      <w:pPr>
        <w:pStyle w:val="NormalWeb"/>
      </w:pPr>
      <w:r w:rsidRPr="00DB4F05">
        <w:t>Esta nota técnica tem como objetivo</w:t>
      </w:r>
      <w:r w:rsidR="00525107">
        <w:rPr>
          <w:lang w:val="pt-BR"/>
        </w:rPr>
        <w:t xml:space="preserve"> </w:t>
      </w:r>
      <w:r w:rsidR="00440C74" w:rsidRPr="00DB4F05">
        <w:rPr>
          <w:lang w:val="pt-BR"/>
        </w:rPr>
        <w:t>responder</w:t>
      </w:r>
      <w:r w:rsidR="00525107">
        <w:rPr>
          <w:lang w:val="pt-BR"/>
        </w:rPr>
        <w:t xml:space="preserve">, </w:t>
      </w:r>
      <w:r w:rsidR="00525107" w:rsidRPr="00DB4F05">
        <w:t xml:space="preserve">de forma preliminar, </w:t>
      </w:r>
      <w:r w:rsidR="00440C74" w:rsidRPr="00DB4F05">
        <w:rPr>
          <w:lang w:val="pt-BR"/>
        </w:rPr>
        <w:t xml:space="preserve"> a essas questões ao </w:t>
      </w:r>
      <w:r w:rsidRPr="00DB4F05">
        <w:t>indicar a direção e a magnitude dos impactos das novas tarifas sobre as exportações da Região Metropolitana de Campinas (RMC).</w:t>
      </w:r>
    </w:p>
    <w:p w14:paraId="79C60AC2" w14:textId="77777777" w:rsidR="001361F6" w:rsidRDefault="001361F6" w:rsidP="001361F6">
      <w:pPr>
        <w:pStyle w:val="NormalWeb"/>
      </w:pPr>
    </w:p>
    <w:p w14:paraId="1FC43D72" w14:textId="3E991C75" w:rsidR="005D43BF" w:rsidRPr="00DB4F05" w:rsidRDefault="005D43BF" w:rsidP="001361F6">
      <w:pPr>
        <w:pStyle w:val="Ttulo1"/>
        <w:pBdr>
          <w:bottom w:val="single" w:sz="4" w:space="1" w:color="auto"/>
        </w:pBdr>
      </w:pPr>
      <w:r w:rsidRPr="00DB4F05">
        <w:t xml:space="preserve">Comércio Bilateral </w:t>
      </w:r>
    </w:p>
    <w:p w14:paraId="4F78804F" w14:textId="77777777" w:rsidR="001361F6" w:rsidRDefault="001361F6" w:rsidP="00E20427">
      <w:pPr>
        <w:pStyle w:val="NormalWeb"/>
      </w:pPr>
    </w:p>
    <w:p w14:paraId="4D9FE0ED" w14:textId="0801040C" w:rsidR="00E1231C" w:rsidRPr="00DB4F05" w:rsidRDefault="008E14A6" w:rsidP="00E20427">
      <w:pPr>
        <w:pStyle w:val="NormalWeb"/>
        <w:rPr>
          <w:lang w:val="pt-BR"/>
        </w:rPr>
      </w:pPr>
      <w:r w:rsidRPr="00DB4F05">
        <w:lastRenderedPageBreak/>
        <w:t xml:space="preserve">Nesta nota, </w:t>
      </w:r>
      <w:r w:rsidR="00DC33F3" w:rsidRPr="00DB4F05">
        <w:rPr>
          <w:lang w:val="pt-BR"/>
        </w:rPr>
        <w:t>utiliza-se</w:t>
      </w:r>
      <w:r w:rsidRPr="00DB4F05">
        <w:t xml:space="preserve"> dados da Secretaria de Comércio Exterior (SECEX/MDIC), divulgados mensalmente, para avaliar o comércio bilateral entre a Região Metropolitana de Campinas e os Estados Unidos. Esses dados são organizados segundo a Nomenclatura Comum do Mercosul (NCM), sistema de classificação de mercadorias utilizado no comércio exterior e estruturado em códigos de até oito dígitos. Os quatro primeiros dígitos correspondem à “posição” e identificam uma categoria mais ampla de produtos; os dois dígitos seguintes detalham subcategorias; e os dois últimos trazem especificações adicionais. O NCM é compatível com o Sistema Harmonizado (HS</w:t>
      </w:r>
      <w:r w:rsidR="0062271D" w:rsidRPr="00DB4F05">
        <w:rPr>
          <w:lang w:val="pt-BR"/>
        </w:rPr>
        <w:t xml:space="preserve">, </w:t>
      </w:r>
      <w:r w:rsidR="0062271D" w:rsidRPr="00DB4F05">
        <w:rPr>
          <w:i/>
          <w:iCs/>
          <w:lang w:val="pt-BR"/>
        </w:rPr>
        <w:t>Harmonized System</w:t>
      </w:r>
      <w:r w:rsidRPr="00DB4F05">
        <w:t>), adotado internacionalmente, e equivalente ao sistema de classificação tarifária dos Estados Unidos, o que permite comparações diretas entre as pautas comerciais dos dois países. No caso do comércio municipal, as estatísticas são divulgadas apenas no nível de quatro dígitos, ou seja, na “posição” — que, neste estudo, será tratada como sinônimo de “grupo de produtos”</w:t>
      </w:r>
      <w:r w:rsidR="00A64124" w:rsidRPr="00DB4F05">
        <w:rPr>
          <w:lang w:val="pt-BR"/>
        </w:rPr>
        <w:t xml:space="preserve"> para facilitar a compreensão dos principais resultados</w:t>
      </w:r>
      <w:r w:rsidR="00AB1BFD" w:rsidRPr="00DB4F05">
        <w:rPr>
          <w:lang w:val="pt-BR"/>
        </w:rPr>
        <w:t>.</w:t>
      </w:r>
      <w:r w:rsidR="007A42D4">
        <w:rPr>
          <w:lang w:val="pt-BR"/>
        </w:rPr>
        <w:t xml:space="preserve"> </w:t>
      </w:r>
      <w:r w:rsidR="003D74F4" w:rsidRPr="00DB4F05">
        <w:t xml:space="preserve">Por essa razão, toda a análise desta nota técnica utiliza essa classificação </w:t>
      </w:r>
      <w:r w:rsidR="00E7118F" w:rsidRPr="00DB4F05">
        <w:rPr>
          <w:lang w:val="pt-BR"/>
        </w:rPr>
        <w:t xml:space="preserve">mais </w:t>
      </w:r>
      <w:r w:rsidR="003D74F4" w:rsidRPr="00DB4F05">
        <w:t>agregada</w:t>
      </w:r>
      <w:r w:rsidR="00D625E9" w:rsidRPr="00DB4F05">
        <w:rPr>
          <w:lang w:val="pt-BR"/>
        </w:rPr>
        <w:t>.</w:t>
      </w:r>
    </w:p>
    <w:p w14:paraId="4FCC6613" w14:textId="36B8302C" w:rsidR="00D03935" w:rsidRPr="00DB4F05" w:rsidRDefault="00E7118F" w:rsidP="00E20427">
      <w:pPr>
        <w:rPr>
          <w:lang w:val="pt-BR"/>
        </w:rPr>
      </w:pPr>
      <w:r w:rsidRPr="00DB4F05">
        <w:rPr>
          <w:lang w:val="pt-BR"/>
        </w:rPr>
        <w:t>Os dados oficiais mostram que e</w:t>
      </w:r>
      <w:r w:rsidR="007A07BF" w:rsidRPr="00DB4F05">
        <w:t xml:space="preserve">ntre agosto de 2024 e julho de 2025, a Região Metropolitana de Campinas (RMC) exportou US$ 837,27 milhões em produtos para os Estados Unidos e importou US$ 2,58 bilhões, resultando em um déficit comercial de aproximadamente US$ 1,7 bilhão. Esse saldo negativo é recorrente ao longo do tempo, como evidencia o Gráfico 1, que apresenta </w:t>
      </w:r>
      <w:r w:rsidR="00D85687">
        <w:rPr>
          <w:lang w:val="pt-BR"/>
        </w:rPr>
        <w:t xml:space="preserve">o </w:t>
      </w:r>
      <w:r w:rsidR="004709F3" w:rsidRPr="00DB4F05">
        <w:rPr>
          <w:lang w:val="pt-BR"/>
        </w:rPr>
        <w:t>comércio bilateral</w:t>
      </w:r>
      <w:r w:rsidR="007A07BF" w:rsidRPr="00DB4F05">
        <w:t xml:space="preserve"> anua</w:t>
      </w:r>
      <w:r w:rsidR="004709F3" w:rsidRPr="00DB4F05">
        <w:rPr>
          <w:lang w:val="pt-BR"/>
        </w:rPr>
        <w:t>l</w:t>
      </w:r>
      <w:r w:rsidR="007A07BF" w:rsidRPr="00DB4F05">
        <w:t xml:space="preserve"> da RMC com os Estados Unidos entre 2014 e 2025, acumulad</w:t>
      </w:r>
      <w:r w:rsidR="00D85687">
        <w:rPr>
          <w:lang w:val="pt-BR"/>
        </w:rPr>
        <w:t xml:space="preserve">o </w:t>
      </w:r>
      <w:r w:rsidR="007A07BF" w:rsidRPr="00DB4F05">
        <w:t>em períodos de 12 meses (agosto a julho).</w:t>
      </w:r>
      <w:r w:rsidR="005B6784" w:rsidRPr="00DB4F05">
        <w:rPr>
          <w:lang w:val="pt-BR"/>
        </w:rPr>
        <w:t xml:space="preserve"> Esse recorte temporal foi utilizado para incluir os dados mais recentes divulgados em agosto/2025. </w:t>
      </w:r>
    </w:p>
    <w:p w14:paraId="6B9A7BA2" w14:textId="77777777" w:rsidR="00D03935" w:rsidRPr="00DB4F05" w:rsidRDefault="00D03935" w:rsidP="00E20427">
      <w:pPr>
        <w:rPr>
          <w:lang w:val="pt-BR"/>
        </w:rPr>
      </w:pPr>
    </w:p>
    <w:p w14:paraId="47F9DBF4" w14:textId="110A2C0D" w:rsidR="00551419" w:rsidRPr="00DB4F05" w:rsidRDefault="005A6375" w:rsidP="00E20427">
      <w:pPr>
        <w:rPr>
          <w:lang w:val="pt-BR"/>
        </w:rPr>
      </w:pPr>
      <w:r w:rsidRPr="00DB4F05">
        <w:rPr>
          <w:noProof/>
          <w:lang w:val="pt-BR" w:eastAsia="pt-BR"/>
        </w:rPr>
        <w:lastRenderedPageBreak/>
        <w:drawing>
          <wp:inline distT="0" distB="0" distL="0" distR="0" wp14:anchorId="4E48BBAC" wp14:editId="386148CB">
            <wp:extent cx="5943600" cy="3566160"/>
            <wp:effectExtent l="0" t="0" r="0" b="0"/>
            <wp:docPr id="1503608689" name="Picture 1" descr="A graph with red line and blue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608689" name="Picture 1" descr="A graph with red line and blue lin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74F6" w:rsidRPr="00DB4F05">
        <w:rPr>
          <w:lang w:val="pt-BR"/>
        </w:rPr>
        <w:t xml:space="preserve"> </w:t>
      </w:r>
    </w:p>
    <w:p w14:paraId="0B3C59EA" w14:textId="77777777" w:rsidR="0033261E" w:rsidRPr="0033261E" w:rsidRDefault="0033261E" w:rsidP="0033261E">
      <w:pPr>
        <w:pStyle w:val="Textodenotaderodap"/>
        <w:rPr>
          <w:rStyle w:val="nfaseSutil"/>
          <w:rFonts w:ascii="Times" w:hAnsi="Times"/>
          <w:i w:val="0"/>
          <w:iCs w:val="0"/>
          <w:color w:val="000000" w:themeColor="text1"/>
        </w:rPr>
      </w:pPr>
      <w:r w:rsidRPr="0033261E">
        <w:rPr>
          <w:rStyle w:val="nfaseSutil"/>
          <w:rFonts w:ascii="Times" w:hAnsi="Times"/>
          <w:i w:val="0"/>
          <w:iCs w:val="0"/>
          <w:color w:val="000000" w:themeColor="text1"/>
        </w:rPr>
        <w:t xml:space="preserve">Fonte: Elaboração própria partir de dados da Secretaria de Comércio Exterior (SECEX) e Observatório de Complexidade Econômica (OCE). </w:t>
      </w:r>
    </w:p>
    <w:p w14:paraId="30569F1F" w14:textId="77777777" w:rsidR="005D43BF" w:rsidRPr="00DB4F05" w:rsidRDefault="005D43BF" w:rsidP="00E20427"/>
    <w:p w14:paraId="6795D9C4" w14:textId="18B83713" w:rsidR="003E449B" w:rsidRPr="00DB4F05" w:rsidRDefault="0029517D" w:rsidP="00E20427">
      <w:pPr>
        <w:pStyle w:val="NormalWeb"/>
      </w:pPr>
      <w:r w:rsidRPr="00DB4F05">
        <w:t>A série histórica mostra que, há pelo menos uma década, as importações superam de forma expressiva as exportações</w:t>
      </w:r>
      <w:r w:rsidR="00533CBD" w:rsidRPr="00DB4F05">
        <w:rPr>
          <w:lang w:val="pt-BR"/>
        </w:rPr>
        <w:t xml:space="preserve"> regionais</w:t>
      </w:r>
      <w:r w:rsidRPr="00DB4F05">
        <w:t xml:space="preserve"> no comércio bilateral com os Estados Unidos. No período mais recente (ago/2024–julho/2025), houve queda de 3,8% nas exportações, enquanto as importações cresceram 26,2%, ampliando o déficit bilateral</w:t>
      </w:r>
      <w:r w:rsidR="00D3631F" w:rsidRPr="00DB4F05">
        <w:rPr>
          <w:lang w:val="pt-BR"/>
        </w:rPr>
        <w:t xml:space="preserve"> estrutural</w:t>
      </w:r>
      <w:r w:rsidRPr="00DB4F05">
        <w:t>. Nesse contexto, medidas retaliatórias que elevem o custo de insumos e produtos importados tendem a ser mais prejudiciais</w:t>
      </w:r>
      <w:r w:rsidR="00D3631F" w:rsidRPr="00DB4F05">
        <w:rPr>
          <w:lang w:val="pt-BR"/>
        </w:rPr>
        <w:t xml:space="preserve"> a economia regional</w:t>
      </w:r>
      <w:r w:rsidRPr="00DB4F05">
        <w:t>, do ponto de vista do valor transacionado, do que tarifas impostas sobre as exportações.</w:t>
      </w:r>
    </w:p>
    <w:p w14:paraId="7DF341DC" w14:textId="77777777" w:rsidR="00EE2229" w:rsidRDefault="00EC7435" w:rsidP="00E20427">
      <w:pPr>
        <w:pStyle w:val="NormalWeb"/>
      </w:pPr>
      <w:r w:rsidRPr="00DB4F05">
        <w:rPr>
          <w:lang w:val="pt-BR"/>
        </w:rPr>
        <w:t>N</w:t>
      </w:r>
      <w:r w:rsidR="0029517D" w:rsidRPr="00DB4F05">
        <w:t xml:space="preserve">os últimos 12 meses, os principais </w:t>
      </w:r>
      <w:r w:rsidRPr="00DB4F05">
        <w:rPr>
          <w:lang w:val="pt-BR"/>
        </w:rPr>
        <w:t xml:space="preserve">grupos de </w:t>
      </w:r>
      <w:r w:rsidR="0029517D" w:rsidRPr="00DB4F05">
        <w:t>produtos exportados pela RMC para os Estados Unidos foram:</w:t>
      </w:r>
    </w:p>
    <w:p w14:paraId="2433F608" w14:textId="6AFA0673" w:rsidR="006B11F3" w:rsidRDefault="0029517D" w:rsidP="006B11F3">
      <w:pPr>
        <w:pStyle w:val="NormalWeb"/>
        <w:numPr>
          <w:ilvl w:val="0"/>
          <w:numId w:val="9"/>
        </w:numPr>
      </w:pPr>
      <w:r w:rsidRPr="00DB4F05">
        <w:t>Outras preparações e conservas de carne e peixe (13,5%, NCM 1602)</w:t>
      </w:r>
    </w:p>
    <w:p w14:paraId="39FD1A86" w14:textId="3DEF664A" w:rsidR="006B11F3" w:rsidRDefault="0029517D" w:rsidP="006B11F3">
      <w:pPr>
        <w:pStyle w:val="NormalWeb"/>
        <w:numPr>
          <w:ilvl w:val="0"/>
          <w:numId w:val="9"/>
        </w:numPr>
      </w:pPr>
      <w:r w:rsidRPr="00DB4F05">
        <w:t>Petróleo (9,8%, NCM 2710)</w:t>
      </w:r>
    </w:p>
    <w:p w14:paraId="16132B05" w14:textId="270D081D" w:rsidR="00B27671" w:rsidRPr="00DB4F05" w:rsidRDefault="0029517D" w:rsidP="006B11F3">
      <w:pPr>
        <w:pStyle w:val="NormalWeb"/>
        <w:numPr>
          <w:ilvl w:val="0"/>
          <w:numId w:val="9"/>
        </w:numPr>
      </w:pPr>
      <w:r w:rsidRPr="00DB4F05">
        <w:lastRenderedPageBreak/>
        <w:t>Pneus de borracha (7,2%, NCM 4011)</w:t>
      </w:r>
    </w:p>
    <w:p w14:paraId="466385EC" w14:textId="7987831C" w:rsidR="00200672" w:rsidRPr="00DB4F05" w:rsidRDefault="00EF06F2" w:rsidP="00E20427">
      <w:pPr>
        <w:pStyle w:val="NormalWeb"/>
      </w:pPr>
      <w:r w:rsidRPr="00DB4F05">
        <w:t>O Gráfico 2 apresenta a participação relativa desses itens e a distribuição da complexidade da</w:t>
      </w:r>
      <w:r w:rsidR="00A00C45" w:rsidRPr="00DB4F05">
        <w:rPr>
          <w:lang w:val="pt-BR"/>
        </w:rPr>
        <w:t>s exportações regionais para os EUA</w:t>
      </w:r>
      <w:r w:rsidRPr="00DB4F05">
        <w:t>.</w:t>
      </w:r>
    </w:p>
    <w:p w14:paraId="1E026B9C" w14:textId="7F54E59E" w:rsidR="00200672" w:rsidRPr="00DB4F05" w:rsidRDefault="00E54381" w:rsidP="00E20427">
      <w:pPr>
        <w:rPr>
          <w:lang w:val="pt-BR"/>
        </w:rPr>
      </w:pPr>
      <w:r w:rsidRPr="00DB4F05">
        <w:rPr>
          <w:noProof/>
          <w:lang w:val="pt-BR" w:eastAsia="pt-BR"/>
        </w:rPr>
        <w:drawing>
          <wp:inline distT="0" distB="0" distL="0" distR="0" wp14:anchorId="76F9DC46" wp14:editId="7BEF5606">
            <wp:extent cx="5943600" cy="4754880"/>
            <wp:effectExtent l="0" t="0" r="0" b="0"/>
            <wp:docPr id="356770147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770147" name="Picture 1" descr="A screenshot of a computer scree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1BC39" w14:textId="77777777" w:rsidR="0033261E" w:rsidRPr="0033261E" w:rsidRDefault="0033261E" w:rsidP="0033261E">
      <w:pPr>
        <w:pStyle w:val="Textodenotaderodap"/>
        <w:rPr>
          <w:rStyle w:val="nfaseSutil"/>
          <w:rFonts w:ascii="Times" w:hAnsi="Times"/>
          <w:i w:val="0"/>
          <w:iCs w:val="0"/>
          <w:color w:val="000000" w:themeColor="text1"/>
        </w:rPr>
      </w:pPr>
      <w:r w:rsidRPr="0033261E">
        <w:rPr>
          <w:rStyle w:val="nfaseSutil"/>
          <w:rFonts w:ascii="Times" w:hAnsi="Times"/>
          <w:i w:val="0"/>
          <w:iCs w:val="0"/>
          <w:color w:val="000000" w:themeColor="text1"/>
        </w:rPr>
        <w:t xml:space="preserve">Fonte: Elaboração própria partir de dados da Secretaria de Comércio Exterior (SECEX) e Observatório de Complexidade Econômica (OCE). </w:t>
      </w:r>
    </w:p>
    <w:p w14:paraId="740BA6B5" w14:textId="37805D2C" w:rsidR="00C157DA" w:rsidRPr="00DB4F05" w:rsidRDefault="00C157DA" w:rsidP="00E20427">
      <w:pPr>
        <w:pStyle w:val="NormalWeb"/>
      </w:pPr>
      <w:r w:rsidRPr="00DB4F05">
        <w:t xml:space="preserve">Embora parte dos principais produtos exportados se enquadre nas categorias de baixa ou média-baixa complexidade, </w:t>
      </w:r>
      <w:r w:rsidR="00C6413F" w:rsidRPr="00DB4F05">
        <w:rPr>
          <w:lang w:val="pt-BR"/>
        </w:rPr>
        <w:t>no geral, a pauta de exportação bilateral é diversificada.</w:t>
      </w:r>
      <w:r w:rsidRPr="00DB4F05">
        <w:t xml:space="preserve"> </w:t>
      </w:r>
      <w:r w:rsidR="00CA3504">
        <w:rPr>
          <w:lang w:val="pt-BR"/>
        </w:rPr>
        <w:t>As exportações</w:t>
      </w:r>
      <w:r w:rsidR="00C6413F" w:rsidRPr="00DB4F05">
        <w:rPr>
          <w:lang w:val="pt-BR"/>
        </w:rPr>
        <w:t xml:space="preserve"> inclu</w:t>
      </w:r>
      <w:r w:rsidR="00CA3504">
        <w:rPr>
          <w:lang w:val="pt-BR"/>
        </w:rPr>
        <w:t>em</w:t>
      </w:r>
      <w:r w:rsidR="00783A24" w:rsidRPr="00DB4F05">
        <w:t xml:space="preserve">, </w:t>
      </w:r>
      <w:r w:rsidR="00095324" w:rsidRPr="00DB4F05">
        <w:t>sobretudo, bens</w:t>
      </w:r>
      <w:r w:rsidRPr="00DB4F05">
        <w:t xml:space="preserve"> de média-alta e alta complexidade tecnológica</w:t>
      </w:r>
      <w:r w:rsidR="00482C48" w:rsidRPr="00DB4F05">
        <w:rPr>
          <w:lang w:val="pt-BR"/>
        </w:rPr>
        <w:t>, como pode ser visto no Gráfico 2</w:t>
      </w:r>
      <w:r w:rsidRPr="00DB4F05">
        <w:t>. No total, considerando</w:t>
      </w:r>
      <w:r w:rsidR="00482C48" w:rsidRPr="00DB4F05">
        <w:rPr>
          <w:lang w:val="pt-BR"/>
        </w:rPr>
        <w:t>-</w:t>
      </w:r>
      <w:r w:rsidR="003F2E69" w:rsidRPr="00DB4F05">
        <w:rPr>
          <w:lang w:val="pt-BR"/>
        </w:rPr>
        <w:t xml:space="preserve">se </w:t>
      </w:r>
      <w:r w:rsidR="003F2E69" w:rsidRPr="00DB4F05">
        <w:t>a</w:t>
      </w:r>
      <w:r w:rsidR="00482C48" w:rsidRPr="00DB4F05">
        <w:rPr>
          <w:lang w:val="pt-BR"/>
        </w:rPr>
        <w:t xml:space="preserve"> </w:t>
      </w:r>
      <w:r w:rsidRPr="00DB4F05">
        <w:t>NCM a quatro dígitos, a região exporta</w:t>
      </w:r>
      <w:r w:rsidR="00BA7A99" w:rsidRPr="00DB4F05">
        <w:rPr>
          <w:lang w:val="pt-BR"/>
        </w:rPr>
        <w:t xml:space="preserve"> produtos de</w:t>
      </w:r>
      <w:r w:rsidRPr="00DB4F05">
        <w:t xml:space="preserve"> 779 </w:t>
      </w:r>
      <w:r w:rsidR="00CB02F8" w:rsidRPr="00DB4F05">
        <w:rPr>
          <w:lang w:val="pt-BR"/>
        </w:rPr>
        <w:t>posições</w:t>
      </w:r>
      <w:r w:rsidR="00BA7A99" w:rsidRPr="00DB4F05">
        <w:rPr>
          <w:lang w:val="pt-BR"/>
        </w:rPr>
        <w:t xml:space="preserve"> </w:t>
      </w:r>
      <w:r w:rsidR="00BC0DB4">
        <w:rPr>
          <w:lang w:val="pt-BR"/>
        </w:rPr>
        <w:t xml:space="preserve">diferentes </w:t>
      </w:r>
      <w:r w:rsidRPr="00DB4F05">
        <w:t>para os Estados Unidos.</w:t>
      </w:r>
    </w:p>
    <w:p w14:paraId="3A1ED14D" w14:textId="401589F6" w:rsidR="005D43BF" w:rsidRPr="00DB4F05" w:rsidRDefault="005D43BF" w:rsidP="00E20427">
      <w:pPr>
        <w:pStyle w:val="NormalWeb"/>
        <w:rPr>
          <w:lang w:val="pt-BR"/>
        </w:rPr>
      </w:pPr>
      <w:r w:rsidRPr="00DB4F05">
        <w:lastRenderedPageBreak/>
        <w:t xml:space="preserve">Do lado das importações, a pauta também é fortemente composta por produtos de média-alta e alta complexidade, conforme ilustrado no Gráfico 3. </w:t>
      </w:r>
      <w:r w:rsidR="00CB02F8" w:rsidRPr="00DB4F05">
        <w:rPr>
          <w:lang w:val="pt-BR"/>
        </w:rPr>
        <w:t>A principal posição</w:t>
      </w:r>
      <w:r w:rsidRPr="00DB4F05">
        <w:t xml:space="preserve"> importad</w:t>
      </w:r>
      <w:r w:rsidR="00CB02F8" w:rsidRPr="00DB4F05">
        <w:rPr>
          <w:lang w:val="pt-BR"/>
        </w:rPr>
        <w:t xml:space="preserve">a, ou seja, </w:t>
      </w:r>
      <w:r w:rsidR="009F2D4B" w:rsidRPr="00DB4F05">
        <w:rPr>
          <w:lang w:val="pt-BR"/>
        </w:rPr>
        <w:t xml:space="preserve">o principal </w:t>
      </w:r>
      <w:r w:rsidR="00CB02F8" w:rsidRPr="00DB4F05">
        <w:rPr>
          <w:lang w:val="pt-BR"/>
        </w:rPr>
        <w:t>grupo de produtos,</w:t>
      </w:r>
      <w:r w:rsidRPr="00DB4F05">
        <w:t xml:space="preserve"> corresponde a defensivos agrícolas (26,1%, NCM 3808).</w:t>
      </w:r>
      <w:r w:rsidR="007364E1" w:rsidRPr="00DB4F05">
        <w:t xml:space="preserve"> </w:t>
      </w:r>
      <w:r w:rsidR="004F7434" w:rsidRPr="00DB4F05">
        <w:rPr>
          <w:lang w:val="pt-BR"/>
        </w:rPr>
        <w:t>A RMC importa</w:t>
      </w:r>
      <w:r w:rsidR="00C65B83">
        <w:rPr>
          <w:lang w:val="pt-BR"/>
        </w:rPr>
        <w:t xml:space="preserve"> </w:t>
      </w:r>
      <w:r w:rsidR="006F532D" w:rsidRPr="00DB4F05">
        <w:rPr>
          <w:lang w:val="pt-BR"/>
        </w:rPr>
        <w:t>dos EUA</w:t>
      </w:r>
      <w:r w:rsidR="00C65B83">
        <w:rPr>
          <w:lang w:val="pt-BR"/>
        </w:rPr>
        <w:t xml:space="preserve"> </w:t>
      </w:r>
      <w:r w:rsidR="004F7434" w:rsidRPr="00DB4F05">
        <w:rPr>
          <w:lang w:val="pt-BR"/>
        </w:rPr>
        <w:t xml:space="preserve">produtos de 678 </w:t>
      </w:r>
      <w:r w:rsidR="00617721" w:rsidRPr="00DB4F05">
        <w:rPr>
          <w:lang w:val="pt-BR"/>
        </w:rPr>
        <w:t>posições</w:t>
      </w:r>
      <w:r w:rsidR="004F7434" w:rsidRPr="00DB4F05">
        <w:rPr>
          <w:lang w:val="pt-BR"/>
        </w:rPr>
        <w:t xml:space="preserve"> </w:t>
      </w:r>
      <w:r w:rsidR="00B2640F" w:rsidRPr="00DB4F05">
        <w:rPr>
          <w:lang w:val="pt-BR"/>
        </w:rPr>
        <w:t>(NMC 4 dígitos</w:t>
      </w:r>
      <w:r w:rsidR="003F2E69" w:rsidRPr="00DB4F05">
        <w:rPr>
          <w:lang w:val="pt-BR"/>
        </w:rPr>
        <w:t>).</w:t>
      </w:r>
    </w:p>
    <w:p w14:paraId="325C51FB" w14:textId="32EF78B5" w:rsidR="005D43BF" w:rsidRPr="00DB4F05" w:rsidRDefault="00523521" w:rsidP="00E20427">
      <w:pPr>
        <w:rPr>
          <w:lang w:val="pt-BR"/>
        </w:rPr>
      </w:pPr>
      <w:r w:rsidRPr="00DB4F05">
        <w:rPr>
          <w:noProof/>
          <w:lang w:val="pt-BR" w:eastAsia="pt-BR"/>
        </w:rPr>
        <w:drawing>
          <wp:inline distT="0" distB="0" distL="0" distR="0" wp14:anchorId="27F674F9" wp14:editId="5033F4D6">
            <wp:extent cx="5943600" cy="4754880"/>
            <wp:effectExtent l="0" t="0" r="0" b="0"/>
            <wp:docPr id="945151502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151502" name="Picture 1" descr="A screenshot of a computer scree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2F988" w14:textId="6CE247F3" w:rsidR="005D43BF" w:rsidRPr="00DB4F05" w:rsidRDefault="005D43BF" w:rsidP="00E20427">
      <w:pPr>
        <w:rPr>
          <w:lang w:val="pt-BR"/>
        </w:rPr>
      </w:pPr>
      <w:r w:rsidRPr="00DB4F05">
        <w:rPr>
          <w:lang w:val="pt-BR"/>
        </w:rPr>
        <w:t xml:space="preserve">Fonte: Elaboração própria partir de dados da Secretaria de Comércio Exterior (SECEX) e Observatório de Complexidade Econômica (OCE). </w:t>
      </w:r>
    </w:p>
    <w:p w14:paraId="2028DE48" w14:textId="66DE1ED4" w:rsidR="006F532D" w:rsidRPr="00DB4F05" w:rsidRDefault="006F532D" w:rsidP="00E20427">
      <w:pPr>
        <w:rPr>
          <w:lang w:val="pt-BR"/>
        </w:rPr>
      </w:pPr>
      <w:r w:rsidRPr="00DB4F05">
        <w:rPr>
          <w:lang w:val="pt-BR"/>
        </w:rPr>
        <w:t>Uma vez conhecid</w:t>
      </w:r>
      <w:r w:rsidR="00907948">
        <w:rPr>
          <w:lang w:val="pt-BR"/>
        </w:rPr>
        <w:t>as</w:t>
      </w:r>
      <w:r w:rsidR="007F760E" w:rsidRPr="00DB4F05">
        <w:rPr>
          <w:lang w:val="pt-BR"/>
        </w:rPr>
        <w:t xml:space="preserve"> a magnitude e a composição do comércio bilateral regional com os </w:t>
      </w:r>
      <w:r w:rsidR="006521B4" w:rsidRPr="00DB4F05">
        <w:rPr>
          <w:lang w:val="pt-BR"/>
        </w:rPr>
        <w:t xml:space="preserve">EUA, pode-se, a partir da lista de exceções tarifárias, inferir quais são </w:t>
      </w:r>
      <w:r w:rsidR="002B56C5" w:rsidRPr="00DB4F05">
        <w:rPr>
          <w:lang w:val="pt-BR"/>
        </w:rPr>
        <w:t xml:space="preserve">os grupos de produtos mais expostos ao </w:t>
      </w:r>
      <w:r w:rsidR="002B56C5" w:rsidRPr="00F74FD6">
        <w:rPr>
          <w:i/>
          <w:iCs/>
          <w:lang w:val="pt-BR"/>
        </w:rPr>
        <w:t>tarifaço</w:t>
      </w:r>
      <w:r w:rsidR="002B56C5" w:rsidRPr="00DB4F05">
        <w:rPr>
          <w:lang w:val="pt-BR"/>
        </w:rPr>
        <w:t xml:space="preserve"> de Donald Trump. </w:t>
      </w:r>
    </w:p>
    <w:p w14:paraId="3E5412D1" w14:textId="171BC2C9" w:rsidR="00903110" w:rsidRPr="00DB4F05" w:rsidRDefault="00903110" w:rsidP="001361F6">
      <w:pPr>
        <w:pStyle w:val="Ttulo1"/>
        <w:pBdr>
          <w:bottom w:val="single" w:sz="4" w:space="1" w:color="auto"/>
        </w:pBdr>
      </w:pPr>
      <w:r w:rsidRPr="00DB4F05">
        <w:lastRenderedPageBreak/>
        <w:t xml:space="preserve">Produtos </w:t>
      </w:r>
      <w:r w:rsidR="001361F6">
        <w:t>de Maior Exposição</w:t>
      </w:r>
    </w:p>
    <w:p w14:paraId="5D6A65C1" w14:textId="77777777" w:rsidR="001361F6" w:rsidRDefault="001361F6" w:rsidP="00E20427">
      <w:pPr>
        <w:pStyle w:val="NormalWeb"/>
      </w:pPr>
    </w:p>
    <w:p w14:paraId="4230D38B" w14:textId="3BE341D4" w:rsidR="00630876" w:rsidRPr="00DB4F05" w:rsidRDefault="00FC3784" w:rsidP="00E20427">
      <w:pPr>
        <w:pStyle w:val="NormalWeb"/>
      </w:pPr>
      <w:r w:rsidRPr="00DB4F05">
        <w:t xml:space="preserve">Como já mencionado, por limitações de dados, esta análise considera a classificação NCM no nível de 4 dígitos. Essa agregação reduz a precisão para identificar quais produtos estão de fato isentos das tarifas impostas. </w:t>
      </w:r>
      <w:r w:rsidR="00870685">
        <w:rPr>
          <w:lang w:val="pt-BR"/>
        </w:rPr>
        <w:t>Isto porque, d</w:t>
      </w:r>
      <w:r w:rsidRPr="00DB4F05">
        <w:t>entro de uma mesma posição tarifária, podem existir códigos mais específicos, no nível de 6 dígitos, que aparecem na lista de exceções divulgada pela Casa Branca, enquanto outros permanecem sujeitos à taxação. O caso do produto 4011.30.00, referente a pneus novos de borracha utilizados em aeronaves, é ilustrativo: trata-se de um item incluído na lista de exceções, mas, na prática, as estatísticas regionais permitem identificar apenas a posição 4011, que reúne todos os pneus novos de borracha. Assim, apenas uma parte do grupo pode ser beneficiada</w:t>
      </w:r>
      <w:r w:rsidR="00D76698">
        <w:rPr>
          <w:lang w:val="pt-BR"/>
        </w:rPr>
        <w:t xml:space="preserve"> pela lista de exceções</w:t>
      </w:r>
      <w:r w:rsidRPr="00DB4F05">
        <w:t>, enquanto os demais itens da mesma posição permanecem expostos às tarifas.</w:t>
      </w:r>
    </w:p>
    <w:p w14:paraId="569E2076" w14:textId="663050EA" w:rsidR="00BD3AD0" w:rsidRPr="00DB4F05" w:rsidRDefault="00BD3AD0" w:rsidP="00E20427">
      <w:pPr>
        <w:pStyle w:val="NormalWeb"/>
      </w:pPr>
      <w:r w:rsidRPr="00DB4F05">
        <w:t>Os efeitos potenciais das tarifas sobre as exportações podem ser avaliados sob duas perspectivas complementares:</w:t>
      </w:r>
    </w:p>
    <w:p w14:paraId="0B503A2B" w14:textId="415267BB" w:rsidR="00BD3AD0" w:rsidRPr="00DB4F05" w:rsidRDefault="00BD3AD0" w:rsidP="00E20427">
      <w:pPr>
        <w:pStyle w:val="NormalWeb"/>
        <w:numPr>
          <w:ilvl w:val="0"/>
          <w:numId w:val="4"/>
        </w:numPr>
      </w:pPr>
      <w:r w:rsidRPr="00DB4F05">
        <w:rPr>
          <w:rStyle w:val="Forte"/>
          <w:b w:val="0"/>
          <w:bCs w:val="0"/>
        </w:rPr>
        <w:t>Grupos de maior peso na pauta exportadora</w:t>
      </w:r>
      <w:r w:rsidRPr="00DB4F05">
        <w:rPr>
          <w:b/>
          <w:bCs/>
        </w:rPr>
        <w:t>:</w:t>
      </w:r>
      <w:r w:rsidRPr="00DB4F05">
        <w:t xml:space="preserve"> identificar os principais </w:t>
      </w:r>
      <w:r w:rsidR="00874AE1">
        <w:rPr>
          <w:lang w:val="pt-BR"/>
        </w:rPr>
        <w:t xml:space="preserve">grupos de </w:t>
      </w:r>
      <w:r w:rsidRPr="00DB4F05">
        <w:t>produtos exportados e verificar quais estão (ou não) abrangidos por isenções. Nesse caso, produtos de</w:t>
      </w:r>
      <w:r w:rsidRPr="00DB4F05">
        <w:rPr>
          <w:rStyle w:val="apple-converted-space"/>
        </w:rPr>
        <w:t> </w:t>
      </w:r>
      <w:r w:rsidRPr="00DB4F05">
        <w:rPr>
          <w:rStyle w:val="Forte"/>
          <w:b w:val="0"/>
          <w:bCs w:val="0"/>
        </w:rPr>
        <w:t>alto valor exportado e não isentos</w:t>
      </w:r>
      <w:r w:rsidRPr="00DB4F05">
        <w:rPr>
          <w:rStyle w:val="apple-converted-space"/>
        </w:rPr>
        <w:t> </w:t>
      </w:r>
      <w:r w:rsidRPr="00DB4F05">
        <w:t>são os que tendem a gerar impactos mais significativos para a economia regional.</w:t>
      </w:r>
    </w:p>
    <w:p w14:paraId="1FD43B4C" w14:textId="286C6A7A" w:rsidR="00BD3AD0" w:rsidRPr="00DB4F05" w:rsidRDefault="00BD3AD0" w:rsidP="00E20427">
      <w:pPr>
        <w:pStyle w:val="NormalWeb"/>
        <w:numPr>
          <w:ilvl w:val="0"/>
          <w:numId w:val="4"/>
        </w:numPr>
      </w:pPr>
      <w:r w:rsidRPr="00DB4F05">
        <w:rPr>
          <w:rStyle w:val="Forte"/>
          <w:b w:val="0"/>
          <w:bCs w:val="0"/>
        </w:rPr>
        <w:t>Setores altamente especializados nos EUA</w:t>
      </w:r>
      <w:r w:rsidRPr="00DB4F05">
        <w:rPr>
          <w:b/>
          <w:bCs/>
        </w:rPr>
        <w:t>:</w:t>
      </w:r>
      <w:r w:rsidRPr="00DB4F05">
        <w:t xml:space="preserve"> analisar os grupos </w:t>
      </w:r>
      <w:r w:rsidR="003E0214">
        <w:rPr>
          <w:lang w:val="pt-BR"/>
        </w:rPr>
        <w:t>cujas</w:t>
      </w:r>
      <w:r w:rsidR="00DE45ED" w:rsidRPr="00DB4F05">
        <w:rPr>
          <w:lang w:val="pt-BR"/>
        </w:rPr>
        <w:t xml:space="preserve"> exportações</w:t>
      </w:r>
      <w:r w:rsidRPr="00DB4F05">
        <w:t xml:space="preserve"> </w:t>
      </w:r>
      <w:r w:rsidR="00DE45ED" w:rsidRPr="00DB4F05">
        <w:rPr>
          <w:lang w:val="pt-BR"/>
        </w:rPr>
        <w:t xml:space="preserve">são </w:t>
      </w:r>
      <w:r w:rsidRPr="00DB4F05">
        <w:t xml:space="preserve"> fortemente dependente do mercado norte-americano. Ainda que os valores exportados sejam menores,</w:t>
      </w:r>
      <w:r w:rsidR="009077A6" w:rsidRPr="00DB4F05">
        <w:rPr>
          <w:lang w:val="pt-BR"/>
        </w:rPr>
        <w:t xml:space="preserve"> do ponto de vista do total exportado pela região,</w:t>
      </w:r>
      <w:r w:rsidRPr="00DB4F05">
        <w:t xml:space="preserve"> a dependência de um único destino torna esses setores particularmente vulneráveis, sobretudo se não houver amplo mercado interno ou capacidade de rápida diversificação para outros destinos.</w:t>
      </w:r>
    </w:p>
    <w:p w14:paraId="36950324" w14:textId="21C80A26" w:rsidR="001C2C65" w:rsidRPr="00DB4F05" w:rsidRDefault="00433001" w:rsidP="00E20427">
      <w:pPr>
        <w:pStyle w:val="NormalWeb"/>
      </w:pPr>
      <w:r w:rsidRPr="00DB4F05">
        <w:t xml:space="preserve">É importante observar que esta nota não aborda os possíveis efeitos de eventuais medidas retaliatórias sobre as importações de produtos norte-americanos. </w:t>
      </w:r>
      <w:r w:rsidR="00705E52">
        <w:rPr>
          <w:lang w:val="pt-BR"/>
        </w:rPr>
        <w:t>Isto porque, a</w:t>
      </w:r>
      <w:r w:rsidRPr="00DB4F05">
        <w:t xml:space="preserve">té o momento, o Brasil não implementou nem anunciou políticas tarifárias com esse caráter. Ainda assim, cabe </w:t>
      </w:r>
      <w:r w:rsidRPr="00DB4F05">
        <w:lastRenderedPageBreak/>
        <w:t>ressaltar que a adoção de medidas desse tipo poderia resultar em prejuízos ainda mais severos para a economia regional do que aqueles decorrentes das tarifas sobre exportações.</w:t>
      </w:r>
    </w:p>
    <w:p w14:paraId="78A31DDF" w14:textId="26BD8052" w:rsidR="001C2C65" w:rsidRPr="000127D4" w:rsidRDefault="001C2C65" w:rsidP="00E20427">
      <w:pPr>
        <w:pStyle w:val="NormalWeb"/>
        <w:rPr>
          <w:lang w:val="pt-BR"/>
        </w:rPr>
      </w:pPr>
      <w:r w:rsidRPr="00DB4F05">
        <w:t xml:space="preserve">Com base na lista de exceções, podem ser identificadas três situações distintas entre os grupos de produtos exportados. Em alguns casos, a isenção é exclusiva para itens vinculados ao setor aeronáutico, restringindo o benefício apenas a produtos destinados </w:t>
      </w:r>
      <w:r w:rsidR="00056BF0">
        <w:rPr>
          <w:lang w:val="pt-BR"/>
        </w:rPr>
        <w:t>a este setor</w:t>
      </w:r>
      <w:r w:rsidRPr="00DB4F05">
        <w:t xml:space="preserve">. Em outros, a isenção se aplica a parte dos produtos da posição, sem vinculação obrigatória à aviação. </w:t>
      </w:r>
      <w:r w:rsidR="00C847B8">
        <w:rPr>
          <w:lang w:val="pt-BR"/>
        </w:rPr>
        <w:t xml:space="preserve">Nestes dois casos, o número de produtos e valor das exportações que estaria isento </w:t>
      </w:r>
      <w:r w:rsidR="000127D4">
        <w:rPr>
          <w:lang w:val="pt-BR"/>
        </w:rPr>
        <w:t xml:space="preserve">não pode ser calculado com precisão. </w:t>
      </w:r>
      <w:r w:rsidRPr="00DB4F05">
        <w:t>Por fim, há grupos em que nenhum produto está isento, o que implica exposição integral à tarifa de 50%</w:t>
      </w:r>
      <w:r w:rsidR="000127D4">
        <w:rPr>
          <w:lang w:val="pt-BR"/>
        </w:rPr>
        <w:t xml:space="preserve"> -- neste caso é possível estimar com precisão o valor exportado que está sujeito a tarifação. </w:t>
      </w:r>
    </w:p>
    <w:p w14:paraId="2AE9FE92" w14:textId="53D9A705" w:rsidR="006801EA" w:rsidRPr="003F2E69" w:rsidRDefault="006801EA" w:rsidP="00E20427">
      <w:pPr>
        <w:rPr>
          <w:lang w:val="pt-BR"/>
        </w:rPr>
      </w:pPr>
      <w:r w:rsidRPr="00DB4F05">
        <w:t xml:space="preserve">A Tabela 1 reúne os 15 principais grupos de produtos com isenções exclusivas para </w:t>
      </w:r>
      <w:r w:rsidR="009D108B">
        <w:rPr>
          <w:lang w:val="pt-BR"/>
        </w:rPr>
        <w:t>setor aeronátucio</w:t>
      </w:r>
      <w:r w:rsidR="00906D70" w:rsidRPr="00DB4F05">
        <w:rPr>
          <w:rStyle w:val="Refdenotaderodap"/>
          <w:sz w:val="27"/>
          <w:szCs w:val="27"/>
        </w:rPr>
        <w:footnoteReference w:id="1"/>
      </w:r>
      <w:r w:rsidRPr="00DB4F05">
        <w:t>. No total, 73 posições da pauta exportadora da RMC aparecem nessa condição. As exportações desses grupos somaram 277,39 milhões de dólares nos últimos 12 meses, valor equivalente a 33,13% do total exportado para os Estados Unidos.</w:t>
      </w:r>
      <w:r w:rsidR="00906D70" w:rsidRPr="00DB4F05">
        <w:rPr>
          <w:lang w:val="pt-BR"/>
        </w:rPr>
        <w:t xml:space="preserve"> </w:t>
      </w:r>
    </w:p>
    <w:p w14:paraId="4701E2E9" w14:textId="5FB8DE52" w:rsidR="005E0690" w:rsidRPr="00336E73" w:rsidRDefault="00DF5364" w:rsidP="00336E73">
      <w:pPr>
        <w:jc w:val="center"/>
        <w:rPr>
          <w:lang w:val="pt-BR"/>
        </w:rPr>
      </w:pPr>
      <w:r w:rsidRPr="00DB4F05">
        <w:rPr>
          <w:b/>
          <w:bCs/>
          <w:lang w:val="pt-BR"/>
        </w:rPr>
        <w:t>Tabela 1</w:t>
      </w:r>
      <w:r w:rsidRPr="00DB4F05">
        <w:rPr>
          <w:lang w:val="pt-BR"/>
        </w:rPr>
        <w:t xml:space="preserve"> </w:t>
      </w:r>
      <w:r w:rsidR="00065E2D" w:rsidRPr="00DB4F05">
        <w:rPr>
          <w:lang w:val="pt-BR"/>
        </w:rPr>
        <w:t>–</w:t>
      </w:r>
      <w:r w:rsidRPr="00DB4F05">
        <w:rPr>
          <w:lang w:val="pt-BR"/>
        </w:rPr>
        <w:t xml:space="preserve"> </w:t>
      </w:r>
      <w:r w:rsidR="00BE2BC5" w:rsidRPr="00DB4F05">
        <w:rPr>
          <w:lang w:val="pt-BR"/>
        </w:rPr>
        <w:t xml:space="preserve">Principais </w:t>
      </w:r>
      <w:r w:rsidR="00B432D8" w:rsidRPr="00DB4F05">
        <w:rPr>
          <w:lang w:val="pt-BR"/>
        </w:rPr>
        <w:t>g</w:t>
      </w:r>
      <w:r w:rsidR="00065E2D" w:rsidRPr="00DB4F05">
        <w:rPr>
          <w:lang w:val="pt-BR"/>
        </w:rPr>
        <w:t xml:space="preserve">rupos com </w:t>
      </w:r>
      <w:r w:rsidR="00B432D8" w:rsidRPr="00DB4F05">
        <w:rPr>
          <w:lang w:val="pt-BR"/>
        </w:rPr>
        <w:t>i</w:t>
      </w:r>
      <w:r w:rsidR="00065E2D" w:rsidRPr="00DB4F05">
        <w:rPr>
          <w:lang w:val="pt-BR"/>
        </w:rPr>
        <w:t xml:space="preserve">senções </w:t>
      </w:r>
      <w:r w:rsidR="00B432D8" w:rsidRPr="00DB4F05">
        <w:rPr>
          <w:lang w:val="pt-BR"/>
        </w:rPr>
        <w:t>e</w:t>
      </w:r>
      <w:r w:rsidR="00065E2D" w:rsidRPr="00DB4F05">
        <w:rPr>
          <w:lang w:val="pt-BR"/>
        </w:rPr>
        <w:t xml:space="preserve">xclusivas para </w:t>
      </w:r>
      <w:r w:rsidR="00DE3249">
        <w:rPr>
          <w:lang w:val="pt-BR"/>
        </w:rPr>
        <w:t>o setor aeronáutico</w:t>
      </w:r>
      <w:r w:rsidR="000F442E" w:rsidRPr="00DB4F05">
        <w:rPr>
          <w:lang w:val="pt-BR"/>
        </w:rPr>
        <w:t xml:space="preserve"> </w:t>
      </w:r>
      <w:r w:rsidR="007E72AB" w:rsidRPr="00DB4F05">
        <w:rPr>
          <w:lang w:val="pt-BR"/>
        </w:rPr>
        <w:t>(12 meses, agosto/24 a julho/25)</w:t>
      </w:r>
    </w:p>
    <w:tbl>
      <w:tblPr>
        <w:tblW w:w="953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7"/>
        <w:gridCol w:w="5601"/>
        <w:gridCol w:w="1310"/>
        <w:gridCol w:w="1571"/>
      </w:tblGrid>
      <w:tr w:rsidR="00262382" w:rsidRPr="00DB4F05" w14:paraId="0F06132B" w14:textId="77777777" w:rsidTr="0033261E">
        <w:trPr>
          <w:trHeight w:val="320"/>
        </w:trPr>
        <w:tc>
          <w:tcPr>
            <w:tcW w:w="1057" w:type="dxa"/>
            <w:shd w:val="clear" w:color="auto" w:fill="auto"/>
            <w:noWrap/>
            <w:vAlign w:val="center"/>
            <w:hideMark/>
          </w:tcPr>
          <w:p w14:paraId="511A4342" w14:textId="3DDA5718" w:rsidR="009A1E35" w:rsidRPr="00AA7205" w:rsidRDefault="00262382" w:rsidP="001746EC">
            <w:pPr>
              <w:spacing w:line="240" w:lineRule="atLeast"/>
              <w:rPr>
                <w:b/>
                <w:bCs/>
                <w:lang w:val="pt-BR"/>
              </w:rPr>
            </w:pPr>
            <w:r w:rsidRPr="00AA7205">
              <w:rPr>
                <w:b/>
                <w:bCs/>
                <w:lang w:val="pt-BR"/>
              </w:rPr>
              <w:t>NCM – 4 dígitos</w:t>
            </w:r>
          </w:p>
        </w:tc>
        <w:tc>
          <w:tcPr>
            <w:tcW w:w="5601" w:type="dxa"/>
            <w:shd w:val="clear" w:color="auto" w:fill="auto"/>
            <w:noWrap/>
            <w:vAlign w:val="center"/>
            <w:hideMark/>
          </w:tcPr>
          <w:p w14:paraId="77932380" w14:textId="227CC32F" w:rsidR="009A1E35" w:rsidRPr="00AA7205" w:rsidRDefault="009A1E35" w:rsidP="001746EC">
            <w:pPr>
              <w:spacing w:line="240" w:lineRule="atLeast"/>
              <w:rPr>
                <w:b/>
                <w:bCs/>
                <w:lang w:val="pt-BR"/>
              </w:rPr>
            </w:pPr>
            <w:r w:rsidRPr="00AA7205">
              <w:rPr>
                <w:b/>
                <w:bCs/>
              </w:rPr>
              <w:t>Descri</w:t>
            </w:r>
            <w:r w:rsidR="007E72AB" w:rsidRPr="00AA7205">
              <w:rPr>
                <w:b/>
                <w:bCs/>
              </w:rPr>
              <w:t>çã</w:t>
            </w:r>
            <w:r w:rsidR="007E72AB" w:rsidRPr="00AA7205">
              <w:rPr>
                <w:b/>
                <w:bCs/>
                <w:lang w:val="pt-BR"/>
              </w:rPr>
              <w:t>o</w:t>
            </w:r>
          </w:p>
        </w:tc>
        <w:tc>
          <w:tcPr>
            <w:tcW w:w="1310" w:type="dxa"/>
            <w:shd w:val="clear" w:color="auto" w:fill="auto"/>
            <w:noWrap/>
            <w:vAlign w:val="center"/>
            <w:hideMark/>
          </w:tcPr>
          <w:p w14:paraId="62C5CE3F" w14:textId="14DC9451" w:rsidR="009A1E35" w:rsidRPr="00AA7205" w:rsidRDefault="009A1E35" w:rsidP="001746EC">
            <w:pPr>
              <w:spacing w:line="240" w:lineRule="atLeast"/>
              <w:rPr>
                <w:b/>
                <w:bCs/>
                <w:lang w:val="pt-BR"/>
              </w:rPr>
            </w:pPr>
            <w:r w:rsidRPr="00AA7205">
              <w:rPr>
                <w:b/>
                <w:bCs/>
                <w:lang w:val="pt-BR"/>
              </w:rPr>
              <w:t xml:space="preserve">Valor Exportado (Milhões de </w:t>
            </w:r>
            <w:r w:rsidR="007E72AB" w:rsidRPr="00AA7205">
              <w:rPr>
                <w:b/>
                <w:bCs/>
                <w:lang w:val="pt-BR"/>
              </w:rPr>
              <w:t>USD</w:t>
            </w:r>
            <w:r w:rsidRPr="00AA7205">
              <w:rPr>
                <w:b/>
                <w:bCs/>
                <w:lang w:val="pt-BR"/>
              </w:rPr>
              <w:t>)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598644B1" w14:textId="1C6E49BC" w:rsidR="009A1E35" w:rsidRPr="00AA7205" w:rsidRDefault="00262382" w:rsidP="001746EC">
            <w:pPr>
              <w:spacing w:line="240" w:lineRule="atLeast"/>
              <w:rPr>
                <w:b/>
                <w:bCs/>
                <w:lang w:val="pt-BR"/>
              </w:rPr>
            </w:pPr>
            <w:r w:rsidRPr="00AA7205">
              <w:rPr>
                <w:b/>
                <w:bCs/>
                <w:lang w:val="pt-BR"/>
              </w:rPr>
              <w:t>% das Exportações totais</w:t>
            </w:r>
          </w:p>
        </w:tc>
      </w:tr>
      <w:tr w:rsidR="00C75647" w:rsidRPr="00DB4F05" w14:paraId="640DA4B2" w14:textId="77777777" w:rsidTr="0033261E">
        <w:trPr>
          <w:trHeight w:val="320"/>
        </w:trPr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771A1C6E" w14:textId="77777777" w:rsidR="00C75647" w:rsidRPr="00DB4F05" w:rsidRDefault="00C75647" w:rsidP="001746EC">
            <w:pPr>
              <w:spacing w:line="240" w:lineRule="atLeast"/>
            </w:pPr>
            <w:r w:rsidRPr="00DB4F05">
              <w:t>4011</w:t>
            </w:r>
          </w:p>
        </w:tc>
        <w:tc>
          <w:tcPr>
            <w:tcW w:w="5601" w:type="dxa"/>
            <w:shd w:val="clear" w:color="auto" w:fill="auto"/>
            <w:noWrap/>
            <w:vAlign w:val="bottom"/>
            <w:hideMark/>
          </w:tcPr>
          <w:p w14:paraId="3FC19090" w14:textId="77777777" w:rsidR="00C75647" w:rsidRPr="00DB4F05" w:rsidRDefault="00C75647" w:rsidP="001746EC">
            <w:pPr>
              <w:spacing w:line="240" w:lineRule="atLeast"/>
            </w:pPr>
            <w:r w:rsidRPr="00DB4F05">
              <w:t>Pneumáticos novos, de borracha</w:t>
            </w: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7FD3ADAA" w14:textId="2DF27E56" w:rsidR="00C75647" w:rsidRPr="00DB4F05" w:rsidRDefault="00C75647" w:rsidP="001746EC">
            <w:pPr>
              <w:spacing w:line="240" w:lineRule="atLeast"/>
            </w:pPr>
            <w:r w:rsidRPr="00DB4F05">
              <w:t>61,28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14:paraId="76BA4C4A" w14:textId="77777777" w:rsidR="00C75647" w:rsidRPr="00DB4F05" w:rsidRDefault="00C75647" w:rsidP="001746EC">
            <w:pPr>
              <w:spacing w:line="240" w:lineRule="atLeast"/>
            </w:pPr>
            <w:r w:rsidRPr="00DB4F05">
              <w:t>10,17</w:t>
            </w:r>
          </w:p>
        </w:tc>
      </w:tr>
      <w:tr w:rsidR="00C75647" w:rsidRPr="00DB4F05" w14:paraId="72FE657C" w14:textId="77777777" w:rsidTr="0033261E">
        <w:trPr>
          <w:trHeight w:val="320"/>
        </w:trPr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7A743D91" w14:textId="77777777" w:rsidR="00C75647" w:rsidRPr="00DB4F05" w:rsidRDefault="00C75647" w:rsidP="001746EC">
            <w:pPr>
              <w:spacing w:line="240" w:lineRule="atLeast"/>
            </w:pPr>
            <w:r w:rsidRPr="00DB4F05">
              <w:t>4012</w:t>
            </w:r>
          </w:p>
        </w:tc>
        <w:tc>
          <w:tcPr>
            <w:tcW w:w="5601" w:type="dxa"/>
            <w:shd w:val="clear" w:color="auto" w:fill="auto"/>
            <w:noWrap/>
            <w:vAlign w:val="bottom"/>
            <w:hideMark/>
          </w:tcPr>
          <w:p w14:paraId="586ADC02" w14:textId="77777777" w:rsidR="00C75647" w:rsidRPr="00DB4F05" w:rsidRDefault="00C75647" w:rsidP="001746EC">
            <w:pPr>
              <w:spacing w:line="240" w:lineRule="atLeast"/>
            </w:pPr>
            <w:r w:rsidRPr="00DB4F05">
              <w:t>Pneumáticos recauchutados ou usados, de borracha; protectores, bandas de rodagem para pneumáticos e flaps, de borracha</w:t>
            </w: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16872E24" w14:textId="5DF19BB1" w:rsidR="00C75647" w:rsidRPr="00DB4F05" w:rsidRDefault="00C75647" w:rsidP="001746EC">
            <w:pPr>
              <w:spacing w:line="240" w:lineRule="atLeast"/>
            </w:pPr>
            <w:r w:rsidRPr="00DB4F05">
              <w:t>48,69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14:paraId="5B01E6C1" w14:textId="77777777" w:rsidR="00C75647" w:rsidRPr="00DB4F05" w:rsidRDefault="00C75647" w:rsidP="001746EC">
            <w:pPr>
              <w:spacing w:line="240" w:lineRule="atLeast"/>
            </w:pPr>
            <w:r w:rsidRPr="00DB4F05">
              <w:t>81,87</w:t>
            </w:r>
          </w:p>
        </w:tc>
      </w:tr>
      <w:tr w:rsidR="00C75647" w:rsidRPr="00DB4F05" w14:paraId="49C80614" w14:textId="77777777" w:rsidTr="0033261E">
        <w:trPr>
          <w:trHeight w:val="320"/>
        </w:trPr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24882B0D" w14:textId="77777777" w:rsidR="00C75647" w:rsidRPr="00DB4F05" w:rsidRDefault="00C75647" w:rsidP="001746EC">
            <w:pPr>
              <w:spacing w:line="240" w:lineRule="atLeast"/>
            </w:pPr>
            <w:r w:rsidRPr="00DB4F05">
              <w:t>8501</w:t>
            </w:r>
          </w:p>
        </w:tc>
        <w:tc>
          <w:tcPr>
            <w:tcW w:w="5601" w:type="dxa"/>
            <w:shd w:val="clear" w:color="auto" w:fill="auto"/>
            <w:noWrap/>
            <w:vAlign w:val="bottom"/>
            <w:hideMark/>
          </w:tcPr>
          <w:p w14:paraId="16E865DF" w14:textId="77777777" w:rsidR="00C75647" w:rsidRPr="00DB4F05" w:rsidRDefault="00C75647" w:rsidP="001746EC">
            <w:pPr>
              <w:spacing w:line="240" w:lineRule="atLeast"/>
            </w:pPr>
            <w:r w:rsidRPr="00DB4F05">
              <w:t>Motores e geradores, elétricos, exceto os grupos electrogéneos</w:t>
            </w: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6C98CED0" w14:textId="1BBE3BD8" w:rsidR="00C75647" w:rsidRPr="00DB4F05" w:rsidRDefault="00C75647" w:rsidP="001746EC">
            <w:pPr>
              <w:spacing w:line="240" w:lineRule="atLeast"/>
            </w:pPr>
            <w:r w:rsidRPr="00DB4F05">
              <w:t>27,47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14:paraId="3D42E13F" w14:textId="77777777" w:rsidR="00C75647" w:rsidRPr="00DB4F05" w:rsidRDefault="00C75647" w:rsidP="001746EC">
            <w:pPr>
              <w:spacing w:line="240" w:lineRule="atLeast"/>
            </w:pPr>
            <w:r w:rsidRPr="00DB4F05">
              <w:t>24,48</w:t>
            </w:r>
          </w:p>
        </w:tc>
      </w:tr>
      <w:tr w:rsidR="00C75647" w:rsidRPr="00DB4F05" w14:paraId="52D9F442" w14:textId="77777777" w:rsidTr="0033261E">
        <w:trPr>
          <w:trHeight w:val="320"/>
        </w:trPr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199DFF17" w14:textId="77777777" w:rsidR="00C75647" w:rsidRPr="00DB4F05" w:rsidRDefault="00C75647" w:rsidP="001746EC">
            <w:pPr>
              <w:spacing w:line="240" w:lineRule="atLeast"/>
            </w:pPr>
            <w:r w:rsidRPr="00DB4F05">
              <w:t>8421</w:t>
            </w:r>
          </w:p>
        </w:tc>
        <w:tc>
          <w:tcPr>
            <w:tcW w:w="5601" w:type="dxa"/>
            <w:shd w:val="clear" w:color="auto" w:fill="auto"/>
            <w:noWrap/>
            <w:vAlign w:val="bottom"/>
            <w:hideMark/>
          </w:tcPr>
          <w:p w14:paraId="5D4FD651" w14:textId="77777777" w:rsidR="00C75647" w:rsidRPr="00DB4F05" w:rsidRDefault="00C75647" w:rsidP="001746EC">
            <w:pPr>
              <w:spacing w:line="240" w:lineRule="atLeast"/>
            </w:pPr>
            <w:r w:rsidRPr="00DB4F05">
              <w:t>Centrifugadores, incluídos os secadores centrífugos, aparelhos para filtrar ou depurar líquidos ou gases</w:t>
            </w: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5ADDCDC5" w14:textId="6929FF48" w:rsidR="00C75647" w:rsidRPr="00DB4F05" w:rsidRDefault="00C75647" w:rsidP="001746EC">
            <w:pPr>
              <w:spacing w:line="240" w:lineRule="atLeast"/>
            </w:pPr>
            <w:r w:rsidRPr="00DB4F05">
              <w:t>23,56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14:paraId="0A2BF16F" w14:textId="77777777" w:rsidR="00C75647" w:rsidRPr="00DB4F05" w:rsidRDefault="00C75647" w:rsidP="001746EC">
            <w:pPr>
              <w:spacing w:line="240" w:lineRule="atLeast"/>
            </w:pPr>
            <w:r w:rsidRPr="00DB4F05">
              <w:t>9,76</w:t>
            </w:r>
          </w:p>
        </w:tc>
      </w:tr>
      <w:tr w:rsidR="00C75647" w:rsidRPr="00DB4F05" w14:paraId="2D0A5DFE" w14:textId="77777777" w:rsidTr="0033261E">
        <w:trPr>
          <w:trHeight w:val="320"/>
        </w:trPr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0E7C6604" w14:textId="77777777" w:rsidR="00C75647" w:rsidRPr="00DB4F05" w:rsidRDefault="00C75647" w:rsidP="001746EC">
            <w:pPr>
              <w:spacing w:line="240" w:lineRule="atLeast"/>
            </w:pPr>
            <w:r w:rsidRPr="00DB4F05">
              <w:lastRenderedPageBreak/>
              <w:t>8409</w:t>
            </w:r>
          </w:p>
        </w:tc>
        <w:tc>
          <w:tcPr>
            <w:tcW w:w="5601" w:type="dxa"/>
            <w:shd w:val="clear" w:color="auto" w:fill="auto"/>
            <w:noWrap/>
            <w:vAlign w:val="bottom"/>
            <w:hideMark/>
          </w:tcPr>
          <w:p w14:paraId="5562595B" w14:textId="77777777" w:rsidR="00C75647" w:rsidRPr="00DB4F05" w:rsidRDefault="00C75647" w:rsidP="001746EC">
            <w:pPr>
              <w:spacing w:line="240" w:lineRule="atLeast"/>
            </w:pPr>
            <w:r w:rsidRPr="00DB4F05">
              <w:t>Partes reconhecíveis como exclusiva ou principalmente destinadas aos motores das posições 8407 ou 8408</w:t>
            </w: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390AD0D9" w14:textId="4F3C30FD" w:rsidR="00C75647" w:rsidRPr="00DB4F05" w:rsidRDefault="00C75647" w:rsidP="001746EC">
            <w:pPr>
              <w:spacing w:line="240" w:lineRule="atLeast"/>
            </w:pPr>
            <w:r w:rsidRPr="00DB4F05">
              <w:t>20,19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14:paraId="6EFAF809" w14:textId="77777777" w:rsidR="00C75647" w:rsidRPr="00DB4F05" w:rsidRDefault="00C75647" w:rsidP="001746EC">
            <w:pPr>
              <w:spacing w:line="240" w:lineRule="atLeast"/>
            </w:pPr>
            <w:r w:rsidRPr="00DB4F05">
              <w:t>3,84</w:t>
            </w:r>
          </w:p>
        </w:tc>
      </w:tr>
      <w:tr w:rsidR="00C75647" w:rsidRPr="00DB4F05" w14:paraId="16D13A05" w14:textId="77777777" w:rsidTr="0033261E">
        <w:trPr>
          <w:trHeight w:val="320"/>
        </w:trPr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01C4A255" w14:textId="77777777" w:rsidR="00C75647" w:rsidRPr="00DB4F05" w:rsidRDefault="00C75647" w:rsidP="001746EC">
            <w:pPr>
              <w:spacing w:line="240" w:lineRule="atLeast"/>
            </w:pPr>
            <w:r w:rsidRPr="00DB4F05">
              <w:t>8483</w:t>
            </w:r>
          </w:p>
        </w:tc>
        <w:tc>
          <w:tcPr>
            <w:tcW w:w="5601" w:type="dxa"/>
            <w:shd w:val="clear" w:color="auto" w:fill="auto"/>
            <w:noWrap/>
            <w:vAlign w:val="bottom"/>
            <w:hideMark/>
          </w:tcPr>
          <w:p w14:paraId="6F944E2C" w14:textId="77777777" w:rsidR="00C75647" w:rsidRPr="00DB4F05" w:rsidRDefault="00C75647" w:rsidP="001746EC">
            <w:pPr>
              <w:spacing w:line="240" w:lineRule="atLeast"/>
            </w:pPr>
            <w:r w:rsidRPr="00DB4F05">
              <w:t>Veios (árvores) de transmissão [incluídas as árvores de cames (excênticos) e cambotas (virabrequins)] e manivelas; chumaceiras (mancais) e bronzes; engrenagens e rodas de fricção; eixos de esferas ou de roletes; redutores, multiplicadores, caixas de trans</w:t>
            </w: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2787F024" w14:textId="7D99C343" w:rsidR="00C75647" w:rsidRPr="00DB4F05" w:rsidRDefault="00C75647" w:rsidP="001746EC">
            <w:pPr>
              <w:spacing w:line="240" w:lineRule="atLeast"/>
            </w:pPr>
            <w:r w:rsidRPr="00DB4F05">
              <w:t>18,50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14:paraId="25144CC0" w14:textId="77777777" w:rsidR="00C75647" w:rsidRPr="00DB4F05" w:rsidRDefault="00C75647" w:rsidP="001746EC">
            <w:pPr>
              <w:spacing w:line="240" w:lineRule="atLeast"/>
            </w:pPr>
            <w:r w:rsidRPr="00DB4F05">
              <w:t>5,16</w:t>
            </w:r>
          </w:p>
        </w:tc>
      </w:tr>
      <w:tr w:rsidR="00C75647" w:rsidRPr="00DB4F05" w14:paraId="0C1186C4" w14:textId="77777777" w:rsidTr="0033261E">
        <w:trPr>
          <w:trHeight w:val="320"/>
        </w:trPr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73AB843E" w14:textId="77777777" w:rsidR="00C75647" w:rsidRPr="00DB4F05" w:rsidRDefault="00C75647" w:rsidP="001746EC">
            <w:pPr>
              <w:spacing w:line="240" w:lineRule="atLeast"/>
            </w:pPr>
            <w:r w:rsidRPr="00DB4F05">
              <w:t>8414</w:t>
            </w:r>
          </w:p>
        </w:tc>
        <w:tc>
          <w:tcPr>
            <w:tcW w:w="5601" w:type="dxa"/>
            <w:shd w:val="clear" w:color="auto" w:fill="auto"/>
            <w:noWrap/>
            <w:vAlign w:val="bottom"/>
            <w:hideMark/>
          </w:tcPr>
          <w:p w14:paraId="15FD21BB" w14:textId="77777777" w:rsidR="00C75647" w:rsidRPr="00DB4F05" w:rsidRDefault="00C75647" w:rsidP="001746EC">
            <w:pPr>
              <w:spacing w:line="240" w:lineRule="atLeast"/>
            </w:pPr>
            <w:r w:rsidRPr="00DB4F05">
              <w:t>Bombas de ar ou de vácuo, compressores de ar ou de outros gases e ventiladores; exaustores (coifas aspirantes) para extracção ou reciclagem, com ventilador incorporado, mesmo filtrantes</w:t>
            </w: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2B03C94B" w14:textId="7A660901" w:rsidR="00C75647" w:rsidRPr="00DB4F05" w:rsidRDefault="00C75647" w:rsidP="001746EC">
            <w:pPr>
              <w:spacing w:line="240" w:lineRule="atLeast"/>
            </w:pPr>
            <w:r w:rsidRPr="00DB4F05">
              <w:t>11,46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14:paraId="4B4E0B3A" w14:textId="77777777" w:rsidR="00C75647" w:rsidRPr="00DB4F05" w:rsidRDefault="00C75647" w:rsidP="001746EC">
            <w:pPr>
              <w:spacing w:line="240" w:lineRule="atLeast"/>
            </w:pPr>
            <w:r w:rsidRPr="00DB4F05">
              <w:t>5,5</w:t>
            </w:r>
          </w:p>
        </w:tc>
      </w:tr>
      <w:tr w:rsidR="00C75647" w:rsidRPr="00DB4F05" w14:paraId="6F76C3A3" w14:textId="77777777" w:rsidTr="0033261E">
        <w:trPr>
          <w:trHeight w:val="320"/>
        </w:trPr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176BC6C0" w14:textId="77777777" w:rsidR="00C75647" w:rsidRPr="00DB4F05" w:rsidRDefault="00C75647" w:rsidP="001746EC">
            <w:pPr>
              <w:spacing w:line="240" w:lineRule="atLeast"/>
            </w:pPr>
            <w:r w:rsidRPr="00DB4F05">
              <w:t>9403</w:t>
            </w:r>
          </w:p>
        </w:tc>
        <w:tc>
          <w:tcPr>
            <w:tcW w:w="5601" w:type="dxa"/>
            <w:shd w:val="clear" w:color="auto" w:fill="auto"/>
            <w:noWrap/>
            <w:vAlign w:val="bottom"/>
            <w:hideMark/>
          </w:tcPr>
          <w:p w14:paraId="1CB47A69" w14:textId="77777777" w:rsidR="00C75647" w:rsidRPr="00DB4F05" w:rsidRDefault="00C75647" w:rsidP="001746EC">
            <w:pPr>
              <w:spacing w:line="240" w:lineRule="atLeast"/>
            </w:pPr>
            <w:r w:rsidRPr="00DB4F05">
              <w:t>Outros móveis e suas partes</w:t>
            </w: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52C8CCA2" w14:textId="05A62A27" w:rsidR="00C75647" w:rsidRPr="00DB4F05" w:rsidRDefault="00C75647" w:rsidP="001746EC">
            <w:pPr>
              <w:spacing w:line="240" w:lineRule="atLeast"/>
            </w:pPr>
            <w:r w:rsidRPr="00DB4F05">
              <w:t>8,53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14:paraId="7C5F4F6B" w14:textId="77777777" w:rsidR="00C75647" w:rsidRPr="00DB4F05" w:rsidRDefault="00C75647" w:rsidP="001746EC">
            <w:pPr>
              <w:spacing w:line="240" w:lineRule="atLeast"/>
            </w:pPr>
            <w:r w:rsidRPr="00DB4F05">
              <w:t>10,07</w:t>
            </w:r>
          </w:p>
        </w:tc>
      </w:tr>
      <w:tr w:rsidR="00C75647" w:rsidRPr="00DB4F05" w14:paraId="7BF4BC6B" w14:textId="77777777" w:rsidTr="0033261E">
        <w:trPr>
          <w:trHeight w:val="320"/>
        </w:trPr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3A3C4983" w14:textId="77777777" w:rsidR="00C75647" w:rsidRPr="00DB4F05" w:rsidRDefault="00C75647" w:rsidP="001746EC">
            <w:pPr>
              <w:spacing w:line="240" w:lineRule="atLeast"/>
            </w:pPr>
            <w:r w:rsidRPr="00DB4F05">
              <w:t>9032</w:t>
            </w:r>
          </w:p>
        </w:tc>
        <w:tc>
          <w:tcPr>
            <w:tcW w:w="5601" w:type="dxa"/>
            <w:shd w:val="clear" w:color="auto" w:fill="auto"/>
            <w:noWrap/>
            <w:vAlign w:val="bottom"/>
            <w:hideMark/>
          </w:tcPr>
          <w:p w14:paraId="35DD05D3" w14:textId="77777777" w:rsidR="00C75647" w:rsidRPr="00DB4F05" w:rsidRDefault="00C75647" w:rsidP="001746EC">
            <w:pPr>
              <w:spacing w:line="240" w:lineRule="atLeast"/>
            </w:pPr>
            <w:r w:rsidRPr="00DB4F05">
              <w:t>Instrumentos e aparelhos para regulação ou controlo, automáticos</w:t>
            </w: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7B354451" w14:textId="22E63129" w:rsidR="00C75647" w:rsidRPr="00DB4F05" w:rsidRDefault="00C75647" w:rsidP="001746EC">
            <w:pPr>
              <w:spacing w:line="240" w:lineRule="atLeast"/>
            </w:pPr>
            <w:r w:rsidRPr="00DB4F05">
              <w:t>6,23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14:paraId="458AE15E" w14:textId="77777777" w:rsidR="00C75647" w:rsidRPr="00DB4F05" w:rsidRDefault="00C75647" w:rsidP="001746EC">
            <w:pPr>
              <w:spacing w:line="240" w:lineRule="atLeast"/>
            </w:pPr>
            <w:r w:rsidRPr="00DB4F05">
              <w:t>5,48</w:t>
            </w:r>
          </w:p>
        </w:tc>
      </w:tr>
      <w:tr w:rsidR="00C75647" w:rsidRPr="00DB4F05" w14:paraId="4F7027D8" w14:textId="77777777" w:rsidTr="0033261E">
        <w:trPr>
          <w:trHeight w:val="320"/>
        </w:trPr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76ED5CF0" w14:textId="77777777" w:rsidR="00C75647" w:rsidRPr="00DB4F05" w:rsidRDefault="00C75647" w:rsidP="001746EC">
            <w:pPr>
              <w:spacing w:line="240" w:lineRule="atLeast"/>
            </w:pPr>
            <w:r w:rsidRPr="00DB4F05">
              <w:t>8413</w:t>
            </w:r>
          </w:p>
        </w:tc>
        <w:tc>
          <w:tcPr>
            <w:tcW w:w="5601" w:type="dxa"/>
            <w:shd w:val="clear" w:color="auto" w:fill="auto"/>
            <w:noWrap/>
            <w:vAlign w:val="bottom"/>
            <w:hideMark/>
          </w:tcPr>
          <w:p w14:paraId="0B135E00" w14:textId="77777777" w:rsidR="00C75647" w:rsidRPr="00DB4F05" w:rsidRDefault="00C75647" w:rsidP="001746EC">
            <w:pPr>
              <w:spacing w:line="240" w:lineRule="atLeast"/>
            </w:pPr>
            <w:r w:rsidRPr="00DB4F05">
              <w:t>Bombas para líquidos, mesmo com dispositivo medidor; elevadores de líquidos</w:t>
            </w: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0109CE64" w14:textId="2745C428" w:rsidR="00C75647" w:rsidRPr="00DB4F05" w:rsidRDefault="00C75647" w:rsidP="001746EC">
            <w:pPr>
              <w:spacing w:line="240" w:lineRule="atLeast"/>
            </w:pPr>
            <w:r w:rsidRPr="00DB4F05">
              <w:t>5,73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14:paraId="703F8221" w14:textId="77777777" w:rsidR="00C75647" w:rsidRPr="00DB4F05" w:rsidRDefault="00C75647" w:rsidP="001746EC">
            <w:pPr>
              <w:spacing w:line="240" w:lineRule="atLeast"/>
            </w:pPr>
            <w:r w:rsidRPr="00DB4F05">
              <w:t>2,54</w:t>
            </w:r>
          </w:p>
        </w:tc>
      </w:tr>
      <w:tr w:rsidR="00C75647" w:rsidRPr="00DB4F05" w14:paraId="5F30F7DC" w14:textId="77777777" w:rsidTr="0033261E">
        <w:trPr>
          <w:trHeight w:val="320"/>
        </w:trPr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1CB57897" w14:textId="77777777" w:rsidR="00C75647" w:rsidRPr="00DB4F05" w:rsidRDefault="00C75647" w:rsidP="001746EC">
            <w:pPr>
              <w:spacing w:line="240" w:lineRule="atLeast"/>
            </w:pPr>
            <w:r w:rsidRPr="00DB4F05">
              <w:t>8511</w:t>
            </w:r>
          </w:p>
        </w:tc>
        <w:tc>
          <w:tcPr>
            <w:tcW w:w="5601" w:type="dxa"/>
            <w:shd w:val="clear" w:color="auto" w:fill="auto"/>
            <w:noWrap/>
            <w:vAlign w:val="bottom"/>
            <w:hideMark/>
          </w:tcPr>
          <w:p w14:paraId="78DFFAA4" w14:textId="77777777" w:rsidR="00C75647" w:rsidRPr="00DB4F05" w:rsidRDefault="00C75647" w:rsidP="001746EC">
            <w:pPr>
              <w:spacing w:line="240" w:lineRule="atLeast"/>
            </w:pPr>
            <w:r w:rsidRPr="00DB4F05">
              <w:t>Aparelhos e dispositivos elétricos de ignição ou de arranque para motores de ignição por faísca ou por compressão (por exemplo, magnetos, dínamos-magnetos, bobinas de ignição, velas de ignição ou de aquecimento, motores de arranque); geradores (dínamos e</w:t>
            </w: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439F51DA" w14:textId="4DD808B4" w:rsidR="00C75647" w:rsidRPr="00DB4F05" w:rsidRDefault="00C75647" w:rsidP="001746EC">
            <w:pPr>
              <w:spacing w:line="240" w:lineRule="atLeast"/>
            </w:pPr>
            <w:r w:rsidRPr="00DB4F05">
              <w:t>4,62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14:paraId="5213DDCE" w14:textId="77777777" w:rsidR="00C75647" w:rsidRPr="00DB4F05" w:rsidRDefault="00C75647" w:rsidP="001746EC">
            <w:pPr>
              <w:spacing w:line="240" w:lineRule="atLeast"/>
            </w:pPr>
            <w:r w:rsidRPr="00DB4F05">
              <w:t>3,24</w:t>
            </w:r>
          </w:p>
        </w:tc>
      </w:tr>
      <w:tr w:rsidR="00C75647" w:rsidRPr="00DB4F05" w14:paraId="5BC70512" w14:textId="77777777" w:rsidTr="0033261E">
        <w:trPr>
          <w:trHeight w:val="320"/>
        </w:trPr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74A18C75" w14:textId="77777777" w:rsidR="00C75647" w:rsidRPr="00DB4F05" w:rsidRDefault="00C75647" w:rsidP="001746EC">
            <w:pPr>
              <w:spacing w:line="240" w:lineRule="atLeast"/>
            </w:pPr>
            <w:r w:rsidRPr="00DB4F05">
              <w:t>8471</w:t>
            </w:r>
          </w:p>
        </w:tc>
        <w:tc>
          <w:tcPr>
            <w:tcW w:w="5601" w:type="dxa"/>
            <w:shd w:val="clear" w:color="auto" w:fill="auto"/>
            <w:noWrap/>
            <w:vAlign w:val="bottom"/>
            <w:hideMark/>
          </w:tcPr>
          <w:p w14:paraId="74966707" w14:textId="77777777" w:rsidR="00C75647" w:rsidRPr="00DB4F05" w:rsidRDefault="00C75647" w:rsidP="001746EC">
            <w:pPr>
              <w:spacing w:line="240" w:lineRule="atLeast"/>
            </w:pPr>
            <w:r w:rsidRPr="00DB4F05">
              <w:t>Máquinas automáticas para processamento de dados e suas unidades; leitores magnéticos ou ópticos, máquinas para registar dados em suporte sob forma codificada, e máquinas para processamento desses dados, não especificadas nem compreendidas em outras posiç</w:t>
            </w: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48FB6191" w14:textId="7859C19A" w:rsidR="00C75647" w:rsidRPr="00DB4F05" w:rsidRDefault="00C75647" w:rsidP="001746EC">
            <w:pPr>
              <w:spacing w:line="240" w:lineRule="atLeast"/>
            </w:pPr>
            <w:r w:rsidRPr="00DB4F05">
              <w:t>3,64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14:paraId="6EDAD269" w14:textId="77777777" w:rsidR="00C75647" w:rsidRPr="00DB4F05" w:rsidRDefault="00C75647" w:rsidP="001746EC">
            <w:pPr>
              <w:spacing w:line="240" w:lineRule="atLeast"/>
            </w:pPr>
            <w:r w:rsidRPr="00DB4F05">
              <w:t>2,5</w:t>
            </w:r>
          </w:p>
        </w:tc>
      </w:tr>
      <w:tr w:rsidR="00C75647" w:rsidRPr="00DB4F05" w14:paraId="01CB2262" w14:textId="77777777" w:rsidTr="0033261E">
        <w:trPr>
          <w:trHeight w:val="320"/>
        </w:trPr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7D1A7859" w14:textId="77777777" w:rsidR="00C75647" w:rsidRPr="00DB4F05" w:rsidRDefault="00C75647" w:rsidP="001746EC">
            <w:pPr>
              <w:spacing w:line="240" w:lineRule="atLeast"/>
            </w:pPr>
            <w:r w:rsidRPr="00DB4F05">
              <w:t>3926</w:t>
            </w:r>
          </w:p>
        </w:tc>
        <w:tc>
          <w:tcPr>
            <w:tcW w:w="5601" w:type="dxa"/>
            <w:shd w:val="clear" w:color="auto" w:fill="auto"/>
            <w:noWrap/>
            <w:vAlign w:val="bottom"/>
            <w:hideMark/>
          </w:tcPr>
          <w:p w14:paraId="7B87F559" w14:textId="77777777" w:rsidR="00C75647" w:rsidRPr="00DB4F05" w:rsidRDefault="00C75647" w:rsidP="001746EC">
            <w:pPr>
              <w:spacing w:line="240" w:lineRule="atLeast"/>
            </w:pPr>
            <w:r w:rsidRPr="00DB4F05">
              <w:t>Outras obras de plástico e obras de outras matérias das posições 3901 a 3914</w:t>
            </w: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29DC63D3" w14:textId="0F107F1D" w:rsidR="00C75647" w:rsidRPr="00DB4F05" w:rsidRDefault="00C75647" w:rsidP="001746EC">
            <w:pPr>
              <w:spacing w:line="240" w:lineRule="atLeast"/>
            </w:pPr>
            <w:r w:rsidRPr="00DB4F05">
              <w:t>2,91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14:paraId="06EE5F50" w14:textId="77777777" w:rsidR="00C75647" w:rsidRPr="00DB4F05" w:rsidRDefault="00C75647" w:rsidP="001746EC">
            <w:pPr>
              <w:spacing w:line="240" w:lineRule="atLeast"/>
            </w:pPr>
            <w:r w:rsidRPr="00DB4F05">
              <w:t>2,51</w:t>
            </w:r>
          </w:p>
        </w:tc>
      </w:tr>
      <w:tr w:rsidR="00C75647" w:rsidRPr="00DB4F05" w14:paraId="4D17269F" w14:textId="77777777" w:rsidTr="0033261E">
        <w:trPr>
          <w:trHeight w:val="320"/>
        </w:trPr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68F2C46B" w14:textId="77777777" w:rsidR="00C75647" w:rsidRPr="00DB4F05" w:rsidRDefault="00C75647" w:rsidP="001746EC">
            <w:pPr>
              <w:spacing w:line="240" w:lineRule="atLeast"/>
            </w:pPr>
            <w:r w:rsidRPr="00DB4F05">
              <w:t>8807</w:t>
            </w:r>
          </w:p>
        </w:tc>
        <w:tc>
          <w:tcPr>
            <w:tcW w:w="5601" w:type="dxa"/>
            <w:shd w:val="clear" w:color="auto" w:fill="auto"/>
            <w:noWrap/>
            <w:vAlign w:val="bottom"/>
            <w:hideMark/>
          </w:tcPr>
          <w:p w14:paraId="44662D44" w14:textId="77777777" w:rsidR="00C75647" w:rsidRPr="00DB4F05" w:rsidRDefault="00C75647" w:rsidP="001746EC">
            <w:pPr>
              <w:spacing w:line="240" w:lineRule="atLeast"/>
            </w:pPr>
            <w:r w:rsidRPr="00DB4F05">
              <w:t>Partes dos aparelhos das posições 88.01, 88.02 ou 88.06</w:t>
            </w: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1EE365DE" w14:textId="39D4823D" w:rsidR="00C75647" w:rsidRPr="00DB4F05" w:rsidRDefault="00C75647" w:rsidP="001746EC">
            <w:pPr>
              <w:spacing w:line="240" w:lineRule="atLeast"/>
            </w:pPr>
            <w:r w:rsidRPr="00DB4F05">
              <w:t>2,74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14:paraId="14C7B929" w14:textId="77777777" w:rsidR="00C75647" w:rsidRPr="00DB4F05" w:rsidRDefault="00C75647" w:rsidP="001746EC">
            <w:pPr>
              <w:spacing w:line="240" w:lineRule="atLeast"/>
            </w:pPr>
            <w:r w:rsidRPr="00DB4F05">
              <w:t>0,56</w:t>
            </w:r>
          </w:p>
        </w:tc>
      </w:tr>
      <w:tr w:rsidR="00C75647" w:rsidRPr="00DB4F05" w14:paraId="2DB52D6D" w14:textId="77777777" w:rsidTr="0033261E">
        <w:trPr>
          <w:trHeight w:val="320"/>
        </w:trPr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0C317B9B" w14:textId="77777777" w:rsidR="00C75647" w:rsidRPr="00DB4F05" w:rsidRDefault="00C75647" w:rsidP="001746EC">
            <w:pPr>
              <w:spacing w:line="240" w:lineRule="atLeast"/>
            </w:pPr>
            <w:r w:rsidRPr="00DB4F05">
              <w:t>8517</w:t>
            </w:r>
          </w:p>
        </w:tc>
        <w:tc>
          <w:tcPr>
            <w:tcW w:w="5601" w:type="dxa"/>
            <w:shd w:val="clear" w:color="auto" w:fill="auto"/>
            <w:noWrap/>
            <w:vAlign w:val="bottom"/>
            <w:hideMark/>
          </w:tcPr>
          <w:p w14:paraId="615F949E" w14:textId="77777777" w:rsidR="00C75647" w:rsidRPr="00DB4F05" w:rsidRDefault="00C75647" w:rsidP="001746EC">
            <w:pPr>
              <w:spacing w:line="240" w:lineRule="atLeast"/>
            </w:pPr>
            <w:r w:rsidRPr="00DB4F05">
              <w:t>Aparelhos elétricos para telefonia ou telegrafia por fios, incluídos os aparelhos telefónicos por fio combinados com auscultadores sem fio e os aparelhos de telecomunicação por corrente portadora ou de telecomunicação digital; videofones</w:t>
            </w: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2AD54ACA" w14:textId="7DC91E3B" w:rsidR="00C75647" w:rsidRPr="00DB4F05" w:rsidRDefault="00C75647" w:rsidP="001746EC">
            <w:pPr>
              <w:spacing w:line="240" w:lineRule="atLeast"/>
            </w:pPr>
            <w:r w:rsidRPr="00DB4F05">
              <w:t>2,50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14:paraId="53A2F59B" w14:textId="77777777" w:rsidR="00C75647" w:rsidRPr="00DB4F05" w:rsidRDefault="00C75647" w:rsidP="001746EC">
            <w:pPr>
              <w:spacing w:line="240" w:lineRule="atLeast"/>
            </w:pPr>
            <w:r w:rsidRPr="00DB4F05">
              <w:t>1,08</w:t>
            </w:r>
          </w:p>
        </w:tc>
      </w:tr>
      <w:tr w:rsidR="00591915" w:rsidRPr="00DB4F05" w14:paraId="55146FEA" w14:textId="77777777" w:rsidTr="0033261E">
        <w:trPr>
          <w:trHeight w:val="320"/>
        </w:trPr>
        <w:tc>
          <w:tcPr>
            <w:tcW w:w="1057" w:type="dxa"/>
            <w:shd w:val="clear" w:color="auto" w:fill="auto"/>
            <w:noWrap/>
            <w:vAlign w:val="bottom"/>
          </w:tcPr>
          <w:p w14:paraId="08CA3914" w14:textId="53889FF4" w:rsidR="00591915" w:rsidRPr="00DB4F05" w:rsidRDefault="00591915" w:rsidP="001746EC">
            <w:pPr>
              <w:spacing w:line="240" w:lineRule="atLeast"/>
              <w:rPr>
                <w:lang w:val="pt-BR"/>
              </w:rPr>
            </w:pPr>
          </w:p>
        </w:tc>
        <w:tc>
          <w:tcPr>
            <w:tcW w:w="5601" w:type="dxa"/>
            <w:shd w:val="clear" w:color="auto" w:fill="auto"/>
            <w:noWrap/>
            <w:vAlign w:val="bottom"/>
          </w:tcPr>
          <w:p w14:paraId="50FC5B01" w14:textId="3B6D30B4" w:rsidR="00591915" w:rsidRPr="00DB4F05" w:rsidRDefault="00F67E65" w:rsidP="001746EC">
            <w:pPr>
              <w:spacing w:line="240" w:lineRule="atLeast"/>
            </w:pPr>
            <w:r w:rsidRPr="00DB4F05">
              <w:rPr>
                <w:lang w:val="pt-BR"/>
              </w:rPr>
              <w:t xml:space="preserve">Demais posições  </w:t>
            </w:r>
          </w:p>
        </w:tc>
        <w:tc>
          <w:tcPr>
            <w:tcW w:w="1310" w:type="dxa"/>
            <w:shd w:val="clear" w:color="auto" w:fill="auto"/>
            <w:noWrap/>
            <w:vAlign w:val="bottom"/>
          </w:tcPr>
          <w:p w14:paraId="7C3C0BAD" w14:textId="0678C5BC" w:rsidR="00591915" w:rsidRPr="00DB4F05" w:rsidRDefault="001C4EEA" w:rsidP="001746EC">
            <w:pPr>
              <w:spacing w:line="240" w:lineRule="atLeast"/>
              <w:rPr>
                <w:lang w:val="pt-BR"/>
              </w:rPr>
            </w:pPr>
            <w:r w:rsidRPr="00DB4F05">
              <w:rPr>
                <w:lang w:val="pt-BR"/>
              </w:rPr>
              <w:t>29,34</w:t>
            </w:r>
          </w:p>
        </w:tc>
        <w:tc>
          <w:tcPr>
            <w:tcW w:w="1571" w:type="dxa"/>
            <w:shd w:val="clear" w:color="auto" w:fill="auto"/>
            <w:noWrap/>
            <w:vAlign w:val="bottom"/>
          </w:tcPr>
          <w:p w14:paraId="2698F5A5" w14:textId="77777777" w:rsidR="00591915" w:rsidRPr="00DB4F05" w:rsidRDefault="00591915" w:rsidP="001746EC">
            <w:pPr>
              <w:spacing w:line="240" w:lineRule="atLeast"/>
            </w:pPr>
          </w:p>
        </w:tc>
      </w:tr>
      <w:tr w:rsidR="00F8625C" w:rsidRPr="00DB4F05" w14:paraId="6CB777E8" w14:textId="77777777" w:rsidTr="0033261E">
        <w:trPr>
          <w:trHeight w:val="320"/>
        </w:trPr>
        <w:tc>
          <w:tcPr>
            <w:tcW w:w="1057" w:type="dxa"/>
            <w:shd w:val="clear" w:color="auto" w:fill="auto"/>
            <w:noWrap/>
            <w:vAlign w:val="bottom"/>
          </w:tcPr>
          <w:p w14:paraId="438250A4" w14:textId="1909AFB9" w:rsidR="00F8625C" w:rsidRPr="00DB4F05" w:rsidRDefault="00F8625C" w:rsidP="001746EC">
            <w:pPr>
              <w:spacing w:line="240" w:lineRule="atLeast"/>
              <w:rPr>
                <w:lang w:val="pt-BR"/>
              </w:rPr>
            </w:pPr>
          </w:p>
        </w:tc>
        <w:tc>
          <w:tcPr>
            <w:tcW w:w="5601" w:type="dxa"/>
            <w:shd w:val="clear" w:color="auto" w:fill="auto"/>
            <w:noWrap/>
            <w:vAlign w:val="bottom"/>
          </w:tcPr>
          <w:p w14:paraId="795C7805" w14:textId="23A71A0F" w:rsidR="00F8625C" w:rsidRPr="00DB4F05" w:rsidRDefault="00F67E65" w:rsidP="001746EC">
            <w:pPr>
              <w:spacing w:line="240" w:lineRule="atLeast"/>
            </w:pPr>
            <w:r w:rsidRPr="00DB4F05">
              <w:rPr>
                <w:lang w:val="pt-BR"/>
              </w:rPr>
              <w:t>Total</w:t>
            </w:r>
          </w:p>
        </w:tc>
        <w:tc>
          <w:tcPr>
            <w:tcW w:w="1310" w:type="dxa"/>
            <w:shd w:val="clear" w:color="auto" w:fill="auto"/>
            <w:noWrap/>
            <w:vAlign w:val="bottom"/>
          </w:tcPr>
          <w:p w14:paraId="6B754CDA" w14:textId="3DA53928" w:rsidR="00F8625C" w:rsidRPr="00DB4F05" w:rsidRDefault="003E0D15" w:rsidP="001746EC">
            <w:pPr>
              <w:spacing w:line="240" w:lineRule="atLeast"/>
              <w:rPr>
                <w:lang w:val="pt-BR"/>
              </w:rPr>
            </w:pPr>
            <w:r w:rsidRPr="00DB4F05">
              <w:rPr>
                <w:lang w:val="pt-BR"/>
              </w:rPr>
              <w:t>277,39</w:t>
            </w:r>
          </w:p>
        </w:tc>
        <w:tc>
          <w:tcPr>
            <w:tcW w:w="1571" w:type="dxa"/>
            <w:shd w:val="clear" w:color="auto" w:fill="auto"/>
            <w:noWrap/>
            <w:vAlign w:val="bottom"/>
          </w:tcPr>
          <w:p w14:paraId="0E123CE9" w14:textId="77777777" w:rsidR="00F8625C" w:rsidRPr="00DB4F05" w:rsidRDefault="00F8625C" w:rsidP="001746EC">
            <w:pPr>
              <w:spacing w:line="240" w:lineRule="atLeast"/>
            </w:pPr>
          </w:p>
        </w:tc>
      </w:tr>
    </w:tbl>
    <w:p w14:paraId="11896294" w14:textId="3DFFF777" w:rsidR="00A32774" w:rsidRPr="0033261E" w:rsidRDefault="0033261E" w:rsidP="0033261E">
      <w:pPr>
        <w:pStyle w:val="Textodenotaderodap"/>
        <w:rPr>
          <w:rFonts w:ascii="Times" w:hAnsi="Times"/>
          <w:color w:val="000000" w:themeColor="text1"/>
        </w:rPr>
      </w:pPr>
      <w:r w:rsidRPr="0033261E">
        <w:rPr>
          <w:rStyle w:val="nfaseSutil"/>
          <w:rFonts w:ascii="Times" w:hAnsi="Times"/>
          <w:i w:val="0"/>
          <w:iCs w:val="0"/>
          <w:color w:val="000000" w:themeColor="text1"/>
        </w:rPr>
        <w:t xml:space="preserve">Fonte: Elaboração própria partir de dados da Secretaria de Comércio Exterior (SECEX) e Observatório de Complexidade Econômica (OCE). </w:t>
      </w:r>
    </w:p>
    <w:p w14:paraId="1B33092E" w14:textId="3474300A" w:rsidR="00B6493C" w:rsidRPr="00336E73" w:rsidRDefault="00B6493C" w:rsidP="00E20427">
      <w:r w:rsidRPr="00DB4F05">
        <w:t>Entre os destaques</w:t>
      </w:r>
      <w:r w:rsidR="006A6B77">
        <w:rPr>
          <w:lang w:val="pt-BR"/>
        </w:rPr>
        <w:t xml:space="preserve">, da </w:t>
      </w:r>
      <w:r w:rsidRPr="00DB4F05">
        <w:rPr>
          <w:lang w:val="pt-BR"/>
        </w:rPr>
        <w:t>Tabela 1</w:t>
      </w:r>
      <w:r w:rsidR="006A6B77">
        <w:rPr>
          <w:lang w:val="pt-BR"/>
        </w:rPr>
        <w:t>,</w:t>
      </w:r>
      <w:r w:rsidRPr="00DB4F05">
        <w:t xml:space="preserve"> estão produtos pertencentes aos capítulos 40, 84 e 85 do NCM, </w:t>
      </w:r>
      <w:r w:rsidR="00690EE1">
        <w:rPr>
          <w:lang w:val="pt-BR"/>
        </w:rPr>
        <w:t xml:space="preserve">ou seja, produtos importantes na pauta regional, </w:t>
      </w:r>
      <w:r w:rsidRPr="00DB4F05">
        <w:t xml:space="preserve">mas a isenção incide apenas sobre os itens destinados ao setor aeronáutico. Vale ressaltar que alguns grupos apresentam forte dependência </w:t>
      </w:r>
      <w:r w:rsidRPr="00DB4F05">
        <w:lastRenderedPageBreak/>
        <w:t xml:space="preserve">em relação ao mercado norte-americano, como no caso dos pneus recauchutados (NCM 4012), em que 81,87% das exportações foram direcionadas aos EUA, e dos motores e geradores elétricos (NCM 8501), cuja participação foi de 24,48%. Essa elevada especialização amplia a relevância das exceções, ainda que sua efetividade seja limitada </w:t>
      </w:r>
      <w:r w:rsidR="004D3AA7" w:rsidRPr="00DB4F05">
        <w:rPr>
          <w:lang w:val="pt-BR"/>
        </w:rPr>
        <w:t>a produtos destinados ao setor</w:t>
      </w:r>
      <w:r w:rsidRPr="00DB4F05">
        <w:t xml:space="preserve"> aeronáutico.</w:t>
      </w:r>
    </w:p>
    <w:p w14:paraId="38A83181" w14:textId="0062E061" w:rsidR="00AF1C5E" w:rsidRPr="00336E73" w:rsidRDefault="00AF1C5E" w:rsidP="00E20427">
      <w:r w:rsidRPr="00DB4F05">
        <w:t xml:space="preserve">A Tabela 2 apresenta os grupos que possuem isenções não restritas à aviação. Nesse caso, a abrangência é significativamente menor, já que apenas 14 posições se enquadram nessa condição. As exportações dessa categoria somaram 85,83 milhões de dólares nos últimos 12 meses, equivalentes a apenas 10,25% do total exportado para os Estados Unidos. Esse resultado demonstra o baixo </w:t>
      </w:r>
      <w:r w:rsidR="00F74AE0">
        <w:rPr>
          <w:lang w:val="pt-BR"/>
        </w:rPr>
        <w:t>potencial</w:t>
      </w:r>
      <w:r w:rsidRPr="00DB4F05">
        <w:t xml:space="preserve"> atenuador das exceções fora do setor aeronáutico.</w:t>
      </w:r>
    </w:p>
    <w:p w14:paraId="1F48C578" w14:textId="79E2BA45" w:rsidR="00B90836" w:rsidRPr="00DB4F05" w:rsidRDefault="001D1D55" w:rsidP="00B41427">
      <w:pPr>
        <w:jc w:val="center"/>
        <w:rPr>
          <w:lang w:val="pt-BR"/>
        </w:rPr>
      </w:pPr>
      <w:r w:rsidRPr="00DB4F05">
        <w:rPr>
          <w:b/>
          <w:bCs/>
          <w:lang w:val="pt-BR"/>
        </w:rPr>
        <w:t>Tabela 2</w:t>
      </w:r>
      <w:r w:rsidRPr="00DB4F05">
        <w:rPr>
          <w:lang w:val="pt-BR"/>
        </w:rPr>
        <w:t xml:space="preserve"> – Principais grupos com isenções (12 meses, agosto/24 a julho/25)</w:t>
      </w:r>
    </w:p>
    <w:tbl>
      <w:tblPr>
        <w:tblW w:w="0" w:type="auto"/>
        <w:tblBorders>
          <w:top w:val="single" w:sz="8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5120"/>
        <w:gridCol w:w="1560"/>
        <w:gridCol w:w="1563"/>
      </w:tblGrid>
      <w:tr w:rsidR="00234DA5" w:rsidRPr="00DB4F05" w14:paraId="724F1998" w14:textId="77777777" w:rsidTr="00234DA5">
        <w:trPr>
          <w:trHeight w:val="340"/>
        </w:trPr>
        <w:tc>
          <w:tcPr>
            <w:tcW w:w="1117" w:type="dxa"/>
            <w:shd w:val="clear" w:color="auto" w:fill="auto"/>
            <w:noWrap/>
            <w:vAlign w:val="center"/>
            <w:hideMark/>
          </w:tcPr>
          <w:p w14:paraId="7DA25828" w14:textId="0CA1572B" w:rsidR="00234DA5" w:rsidRPr="0033261E" w:rsidRDefault="00234DA5" w:rsidP="0033261E">
            <w:pPr>
              <w:spacing w:line="240" w:lineRule="auto"/>
              <w:rPr>
                <w:b/>
                <w:bCs/>
              </w:rPr>
            </w:pPr>
            <w:r w:rsidRPr="0033261E">
              <w:rPr>
                <w:b/>
                <w:bCs/>
                <w:lang w:val="pt-BR"/>
              </w:rPr>
              <w:t>NCM – 4 dígitos</w:t>
            </w:r>
          </w:p>
        </w:tc>
        <w:tc>
          <w:tcPr>
            <w:tcW w:w="5120" w:type="dxa"/>
            <w:shd w:val="clear" w:color="auto" w:fill="auto"/>
            <w:noWrap/>
            <w:vAlign w:val="center"/>
            <w:hideMark/>
          </w:tcPr>
          <w:p w14:paraId="581CF7A2" w14:textId="3C3FB02A" w:rsidR="00234DA5" w:rsidRPr="0033261E" w:rsidRDefault="00234DA5" w:rsidP="0033261E">
            <w:pPr>
              <w:spacing w:line="240" w:lineRule="auto"/>
              <w:rPr>
                <w:b/>
                <w:bCs/>
              </w:rPr>
            </w:pPr>
            <w:r w:rsidRPr="0033261E">
              <w:rPr>
                <w:b/>
                <w:bCs/>
              </w:rPr>
              <w:t>Descriçã</w:t>
            </w:r>
            <w:r w:rsidRPr="0033261E">
              <w:rPr>
                <w:b/>
                <w:bCs/>
                <w:lang w:val="pt-BR"/>
              </w:rPr>
              <w:t>o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A54DA7D" w14:textId="6AFB772F" w:rsidR="00234DA5" w:rsidRPr="0033261E" w:rsidRDefault="00234DA5" w:rsidP="0033261E">
            <w:pPr>
              <w:spacing w:line="240" w:lineRule="auto"/>
              <w:rPr>
                <w:b/>
                <w:bCs/>
              </w:rPr>
            </w:pPr>
            <w:r w:rsidRPr="0033261E">
              <w:rPr>
                <w:b/>
                <w:bCs/>
                <w:lang w:val="pt-BR"/>
              </w:rPr>
              <w:t>Valor Exportado (Milhões de USD)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544EE90A" w14:textId="576D04A5" w:rsidR="00234DA5" w:rsidRPr="0033261E" w:rsidRDefault="00234DA5" w:rsidP="0033261E">
            <w:pPr>
              <w:spacing w:line="240" w:lineRule="auto"/>
              <w:rPr>
                <w:b/>
                <w:bCs/>
              </w:rPr>
            </w:pPr>
            <w:r w:rsidRPr="0033261E">
              <w:rPr>
                <w:b/>
                <w:bCs/>
                <w:lang w:val="pt-BR"/>
              </w:rPr>
              <w:t>% das Exportações totais</w:t>
            </w:r>
          </w:p>
        </w:tc>
      </w:tr>
      <w:tr w:rsidR="00950F9F" w:rsidRPr="00DB4F05" w14:paraId="43370328" w14:textId="77777777" w:rsidTr="00132F1E">
        <w:trPr>
          <w:trHeight w:val="320"/>
        </w:trPr>
        <w:tc>
          <w:tcPr>
            <w:tcW w:w="1117" w:type="dxa"/>
            <w:shd w:val="clear" w:color="auto" w:fill="auto"/>
            <w:noWrap/>
            <w:vAlign w:val="bottom"/>
            <w:hideMark/>
          </w:tcPr>
          <w:p w14:paraId="5F95CAD0" w14:textId="77777777" w:rsidR="00EF50A6" w:rsidRPr="00DB4F05" w:rsidRDefault="00EF50A6" w:rsidP="0033261E">
            <w:pPr>
              <w:spacing w:line="240" w:lineRule="auto"/>
            </w:pPr>
            <w:r w:rsidRPr="00DB4F05">
              <w:t>2710</w:t>
            </w:r>
          </w:p>
        </w:tc>
        <w:tc>
          <w:tcPr>
            <w:tcW w:w="5120" w:type="dxa"/>
            <w:shd w:val="clear" w:color="auto" w:fill="auto"/>
            <w:noWrap/>
            <w:vAlign w:val="bottom"/>
            <w:hideMark/>
          </w:tcPr>
          <w:p w14:paraId="10926B4D" w14:textId="77777777" w:rsidR="00EF50A6" w:rsidRPr="00DB4F05" w:rsidRDefault="00EF50A6" w:rsidP="0033261E">
            <w:pPr>
              <w:spacing w:line="240" w:lineRule="auto"/>
            </w:pPr>
            <w:r w:rsidRPr="00DB4F05">
              <w:t>Óleos de petróleo ou de minerais betuminosos, exceto óleos brutos; preparações não especificadas nem compreendidas noutras posições, contendo, em peso, 70 % ou mais de óleos de petróleo ou de minerais betuminosos, os quais devem constituir o seu elemento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2B255D" w14:textId="77777777" w:rsidR="00EF50A6" w:rsidRPr="00DB4F05" w:rsidRDefault="00EF50A6" w:rsidP="0033261E">
            <w:pPr>
              <w:spacing w:line="240" w:lineRule="auto"/>
            </w:pPr>
            <w:r w:rsidRPr="00DB4F05">
              <w:t>83,35</w:t>
            </w:r>
          </w:p>
        </w:tc>
        <w:tc>
          <w:tcPr>
            <w:tcW w:w="1563" w:type="dxa"/>
            <w:shd w:val="clear" w:color="auto" w:fill="auto"/>
            <w:noWrap/>
            <w:vAlign w:val="bottom"/>
            <w:hideMark/>
          </w:tcPr>
          <w:p w14:paraId="7E454A0E" w14:textId="77777777" w:rsidR="00EF50A6" w:rsidRPr="00DB4F05" w:rsidRDefault="00EF50A6" w:rsidP="0033261E">
            <w:pPr>
              <w:spacing w:line="240" w:lineRule="auto"/>
            </w:pPr>
            <w:r w:rsidRPr="00DB4F05">
              <w:t>2,09</w:t>
            </w:r>
          </w:p>
        </w:tc>
      </w:tr>
      <w:tr w:rsidR="00950F9F" w:rsidRPr="00DB4F05" w14:paraId="400A61B0" w14:textId="77777777" w:rsidTr="00132F1E">
        <w:trPr>
          <w:trHeight w:val="320"/>
        </w:trPr>
        <w:tc>
          <w:tcPr>
            <w:tcW w:w="1117" w:type="dxa"/>
            <w:shd w:val="clear" w:color="auto" w:fill="auto"/>
            <w:noWrap/>
            <w:vAlign w:val="bottom"/>
            <w:hideMark/>
          </w:tcPr>
          <w:p w14:paraId="3080E9FA" w14:textId="77777777" w:rsidR="00EF50A6" w:rsidRPr="00DB4F05" w:rsidRDefault="00EF50A6" w:rsidP="0033261E">
            <w:pPr>
              <w:spacing w:line="240" w:lineRule="auto"/>
            </w:pPr>
            <w:r w:rsidRPr="00DB4F05">
              <w:t>2009</w:t>
            </w:r>
          </w:p>
        </w:tc>
        <w:tc>
          <w:tcPr>
            <w:tcW w:w="5120" w:type="dxa"/>
            <w:shd w:val="clear" w:color="auto" w:fill="auto"/>
            <w:noWrap/>
            <w:vAlign w:val="bottom"/>
            <w:hideMark/>
          </w:tcPr>
          <w:p w14:paraId="5C9CEA7E" w14:textId="77777777" w:rsidR="00EF50A6" w:rsidRPr="00DB4F05" w:rsidRDefault="00EF50A6" w:rsidP="0033261E">
            <w:pPr>
              <w:spacing w:line="240" w:lineRule="auto"/>
            </w:pPr>
            <w:r w:rsidRPr="00DB4F05">
              <w:t>Sumos de frutas (incluídos os mostos de uvas) ou de produtos hortícolas, não fermentados, sem adição de álcool, com ou sem adição de açúcar ou de outros edulcorantes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DCD957" w14:textId="77777777" w:rsidR="00EF50A6" w:rsidRPr="00DB4F05" w:rsidRDefault="00EF50A6" w:rsidP="0033261E">
            <w:pPr>
              <w:spacing w:line="240" w:lineRule="auto"/>
            </w:pPr>
            <w:r w:rsidRPr="00DB4F05">
              <w:t>1,54</w:t>
            </w:r>
          </w:p>
        </w:tc>
        <w:tc>
          <w:tcPr>
            <w:tcW w:w="1563" w:type="dxa"/>
            <w:shd w:val="clear" w:color="auto" w:fill="auto"/>
            <w:noWrap/>
            <w:vAlign w:val="bottom"/>
            <w:hideMark/>
          </w:tcPr>
          <w:p w14:paraId="558A91DB" w14:textId="77777777" w:rsidR="00EF50A6" w:rsidRPr="00DB4F05" w:rsidRDefault="00EF50A6" w:rsidP="0033261E">
            <w:pPr>
              <w:spacing w:line="240" w:lineRule="auto"/>
            </w:pPr>
            <w:r w:rsidRPr="00DB4F05">
              <w:t>0,04</w:t>
            </w:r>
          </w:p>
        </w:tc>
      </w:tr>
      <w:tr w:rsidR="00950F9F" w:rsidRPr="00DB4F05" w14:paraId="4CB71BD5" w14:textId="77777777" w:rsidTr="00132F1E">
        <w:trPr>
          <w:trHeight w:val="320"/>
        </w:trPr>
        <w:tc>
          <w:tcPr>
            <w:tcW w:w="1117" w:type="dxa"/>
            <w:shd w:val="clear" w:color="auto" w:fill="auto"/>
            <w:noWrap/>
            <w:vAlign w:val="bottom"/>
            <w:hideMark/>
          </w:tcPr>
          <w:p w14:paraId="695282B0" w14:textId="77777777" w:rsidR="00EF50A6" w:rsidRPr="00DB4F05" w:rsidRDefault="00EF50A6" w:rsidP="0033261E">
            <w:pPr>
              <w:spacing w:line="240" w:lineRule="auto"/>
            </w:pPr>
            <w:r w:rsidRPr="00DB4F05">
              <w:t>3105</w:t>
            </w:r>
          </w:p>
        </w:tc>
        <w:tc>
          <w:tcPr>
            <w:tcW w:w="5120" w:type="dxa"/>
            <w:shd w:val="clear" w:color="auto" w:fill="auto"/>
            <w:noWrap/>
            <w:vAlign w:val="bottom"/>
            <w:hideMark/>
          </w:tcPr>
          <w:p w14:paraId="1D6C8D68" w14:textId="77777777" w:rsidR="00EF50A6" w:rsidRPr="00DB4F05" w:rsidRDefault="00EF50A6" w:rsidP="0033261E">
            <w:pPr>
              <w:spacing w:line="240" w:lineRule="auto"/>
            </w:pPr>
            <w:r w:rsidRPr="00DB4F05">
              <w:t>Adubos (fertilizantes) minerais ou químicos, contendo dois ou três dos seguintes elementos fertilizantes: azoto (nitrogénio), fósforo e potássio; outros adubos (fertilizantes); produtos do presente capítulo apresentados em tabletes ou formas semelhantes,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797EBC" w14:textId="77777777" w:rsidR="00EF50A6" w:rsidRPr="00DB4F05" w:rsidRDefault="00EF50A6" w:rsidP="0033261E">
            <w:pPr>
              <w:spacing w:line="240" w:lineRule="auto"/>
            </w:pPr>
            <w:r w:rsidRPr="00DB4F05">
              <w:t>0,33</w:t>
            </w:r>
          </w:p>
        </w:tc>
        <w:tc>
          <w:tcPr>
            <w:tcW w:w="1563" w:type="dxa"/>
            <w:shd w:val="clear" w:color="auto" w:fill="auto"/>
            <w:noWrap/>
            <w:vAlign w:val="bottom"/>
            <w:hideMark/>
          </w:tcPr>
          <w:p w14:paraId="17FFD5BB" w14:textId="77777777" w:rsidR="00EF50A6" w:rsidRPr="00DB4F05" w:rsidRDefault="00EF50A6" w:rsidP="0033261E">
            <w:pPr>
              <w:spacing w:line="240" w:lineRule="auto"/>
            </w:pPr>
            <w:r w:rsidRPr="00DB4F05">
              <w:t>1,70</w:t>
            </w:r>
          </w:p>
        </w:tc>
      </w:tr>
      <w:tr w:rsidR="00950F9F" w:rsidRPr="00DB4F05" w14:paraId="56397B6F" w14:textId="77777777" w:rsidTr="00132F1E">
        <w:trPr>
          <w:trHeight w:val="320"/>
        </w:trPr>
        <w:tc>
          <w:tcPr>
            <w:tcW w:w="1117" w:type="dxa"/>
            <w:shd w:val="clear" w:color="auto" w:fill="auto"/>
            <w:noWrap/>
            <w:vAlign w:val="bottom"/>
            <w:hideMark/>
          </w:tcPr>
          <w:p w14:paraId="27B39D5C" w14:textId="77777777" w:rsidR="00EF50A6" w:rsidRPr="00DB4F05" w:rsidRDefault="00EF50A6" w:rsidP="0033261E">
            <w:pPr>
              <w:spacing w:line="240" w:lineRule="auto"/>
            </w:pPr>
            <w:r w:rsidRPr="00DB4F05">
              <w:t>6802</w:t>
            </w:r>
          </w:p>
        </w:tc>
        <w:tc>
          <w:tcPr>
            <w:tcW w:w="5120" w:type="dxa"/>
            <w:shd w:val="clear" w:color="auto" w:fill="auto"/>
            <w:noWrap/>
            <w:vAlign w:val="bottom"/>
            <w:hideMark/>
          </w:tcPr>
          <w:p w14:paraId="30A8AA3D" w14:textId="77777777" w:rsidR="00EF50A6" w:rsidRPr="00DB4F05" w:rsidRDefault="00EF50A6" w:rsidP="0033261E">
            <w:pPr>
              <w:spacing w:line="240" w:lineRule="auto"/>
            </w:pPr>
            <w:r w:rsidRPr="00DB4F05">
              <w:t>Pedras de cantaria ou de construção (exceto de ardósia) trabalhadas e obras destas pedras, exceto as da posição 6801; cubos, pastilhas e artigos semelhantes, para mosaicos, de pedra natural (incluída a ardósia), mesmo com suporte; grânulos, fragmentos e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97BB81" w14:textId="77777777" w:rsidR="00EF50A6" w:rsidRPr="00DB4F05" w:rsidRDefault="00EF50A6" w:rsidP="0033261E">
            <w:pPr>
              <w:spacing w:line="240" w:lineRule="auto"/>
            </w:pPr>
            <w:r w:rsidRPr="00DB4F05">
              <w:t>0,32</w:t>
            </w:r>
          </w:p>
        </w:tc>
        <w:tc>
          <w:tcPr>
            <w:tcW w:w="1563" w:type="dxa"/>
            <w:shd w:val="clear" w:color="auto" w:fill="auto"/>
            <w:noWrap/>
            <w:vAlign w:val="bottom"/>
            <w:hideMark/>
          </w:tcPr>
          <w:p w14:paraId="4501196E" w14:textId="77777777" w:rsidR="00EF50A6" w:rsidRPr="00DB4F05" w:rsidRDefault="00EF50A6" w:rsidP="0033261E">
            <w:pPr>
              <w:spacing w:line="240" w:lineRule="auto"/>
            </w:pPr>
            <w:r w:rsidRPr="00DB4F05">
              <w:t>10,93</w:t>
            </w:r>
          </w:p>
        </w:tc>
      </w:tr>
      <w:tr w:rsidR="00950F9F" w:rsidRPr="00DB4F05" w14:paraId="363CCFE9" w14:textId="77777777" w:rsidTr="00132F1E">
        <w:trPr>
          <w:trHeight w:val="320"/>
        </w:trPr>
        <w:tc>
          <w:tcPr>
            <w:tcW w:w="1117" w:type="dxa"/>
            <w:shd w:val="clear" w:color="auto" w:fill="auto"/>
            <w:noWrap/>
            <w:vAlign w:val="bottom"/>
            <w:hideMark/>
          </w:tcPr>
          <w:p w14:paraId="76412F6E" w14:textId="77777777" w:rsidR="00EF50A6" w:rsidRPr="00DB4F05" w:rsidRDefault="00EF50A6" w:rsidP="0033261E">
            <w:pPr>
              <w:spacing w:line="240" w:lineRule="auto"/>
            </w:pPr>
            <w:r w:rsidRPr="00DB4F05">
              <w:lastRenderedPageBreak/>
              <w:t>2713</w:t>
            </w:r>
          </w:p>
        </w:tc>
        <w:tc>
          <w:tcPr>
            <w:tcW w:w="5120" w:type="dxa"/>
            <w:shd w:val="clear" w:color="auto" w:fill="auto"/>
            <w:noWrap/>
            <w:vAlign w:val="bottom"/>
            <w:hideMark/>
          </w:tcPr>
          <w:p w14:paraId="3DC5948F" w14:textId="77777777" w:rsidR="00EF50A6" w:rsidRPr="00DB4F05" w:rsidRDefault="00EF50A6" w:rsidP="0033261E">
            <w:pPr>
              <w:spacing w:line="240" w:lineRule="auto"/>
            </w:pPr>
            <w:r w:rsidRPr="00DB4F05">
              <w:t>Coque de petróleo, betume de petróleo e outros resíduos dos óleos de petróleo ou de minerais betuminosos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E106B1" w14:textId="77777777" w:rsidR="00EF50A6" w:rsidRPr="00DB4F05" w:rsidRDefault="00EF50A6" w:rsidP="0033261E">
            <w:pPr>
              <w:spacing w:line="240" w:lineRule="auto"/>
            </w:pPr>
            <w:r w:rsidRPr="00DB4F05">
              <w:t>0,20</w:t>
            </w:r>
          </w:p>
        </w:tc>
        <w:tc>
          <w:tcPr>
            <w:tcW w:w="1563" w:type="dxa"/>
            <w:shd w:val="clear" w:color="auto" w:fill="auto"/>
            <w:noWrap/>
            <w:vAlign w:val="bottom"/>
            <w:hideMark/>
          </w:tcPr>
          <w:p w14:paraId="56CA9ED9" w14:textId="77777777" w:rsidR="00EF50A6" w:rsidRPr="00DB4F05" w:rsidRDefault="00EF50A6" w:rsidP="0033261E">
            <w:pPr>
              <w:spacing w:line="240" w:lineRule="auto"/>
            </w:pPr>
            <w:r w:rsidRPr="00DB4F05">
              <w:t>0,08</w:t>
            </w:r>
          </w:p>
        </w:tc>
      </w:tr>
      <w:tr w:rsidR="00950F9F" w:rsidRPr="00DB4F05" w14:paraId="78E54C05" w14:textId="77777777" w:rsidTr="00132F1E">
        <w:trPr>
          <w:trHeight w:val="320"/>
        </w:trPr>
        <w:tc>
          <w:tcPr>
            <w:tcW w:w="1117" w:type="dxa"/>
            <w:shd w:val="clear" w:color="auto" w:fill="auto"/>
            <w:noWrap/>
            <w:vAlign w:val="bottom"/>
            <w:hideMark/>
          </w:tcPr>
          <w:p w14:paraId="5600F8C2" w14:textId="77777777" w:rsidR="00EF50A6" w:rsidRPr="00DB4F05" w:rsidRDefault="00EF50A6" w:rsidP="0033261E">
            <w:pPr>
              <w:spacing w:line="240" w:lineRule="auto"/>
            </w:pPr>
            <w:r w:rsidRPr="00DB4F05">
              <w:t>2008</w:t>
            </w:r>
          </w:p>
        </w:tc>
        <w:tc>
          <w:tcPr>
            <w:tcW w:w="5120" w:type="dxa"/>
            <w:shd w:val="clear" w:color="auto" w:fill="auto"/>
            <w:noWrap/>
            <w:vAlign w:val="bottom"/>
            <w:hideMark/>
          </w:tcPr>
          <w:p w14:paraId="7E53FF84" w14:textId="77777777" w:rsidR="00EF50A6" w:rsidRPr="00DB4F05" w:rsidRDefault="00EF50A6" w:rsidP="0033261E">
            <w:pPr>
              <w:spacing w:line="240" w:lineRule="auto"/>
            </w:pPr>
            <w:r w:rsidRPr="00DB4F05">
              <w:t>Frutas e outras partes comestíveis de plantas, preparadas ou conservadas de outro modo, com ou sem adição de açúcar ou de outros edulcorantes ou de álcool, não especificadas nem compreendidas noutras posições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7E715F" w14:textId="77777777" w:rsidR="00EF50A6" w:rsidRPr="00DB4F05" w:rsidRDefault="00EF50A6" w:rsidP="0033261E">
            <w:pPr>
              <w:spacing w:line="240" w:lineRule="auto"/>
            </w:pPr>
            <w:r w:rsidRPr="00DB4F05">
              <w:t>0,05</w:t>
            </w:r>
          </w:p>
        </w:tc>
        <w:tc>
          <w:tcPr>
            <w:tcW w:w="1563" w:type="dxa"/>
            <w:shd w:val="clear" w:color="auto" w:fill="auto"/>
            <w:noWrap/>
            <w:vAlign w:val="bottom"/>
            <w:hideMark/>
          </w:tcPr>
          <w:p w14:paraId="48D0449E" w14:textId="77777777" w:rsidR="00EF50A6" w:rsidRPr="00DB4F05" w:rsidRDefault="00EF50A6" w:rsidP="0033261E">
            <w:pPr>
              <w:spacing w:line="240" w:lineRule="auto"/>
            </w:pPr>
            <w:r w:rsidRPr="00DB4F05">
              <w:t>0,08</w:t>
            </w:r>
          </w:p>
        </w:tc>
      </w:tr>
      <w:tr w:rsidR="00950F9F" w:rsidRPr="00DB4F05" w14:paraId="419DC3ED" w14:textId="77777777" w:rsidTr="00132F1E">
        <w:trPr>
          <w:trHeight w:val="320"/>
        </w:trPr>
        <w:tc>
          <w:tcPr>
            <w:tcW w:w="1117" w:type="dxa"/>
            <w:shd w:val="clear" w:color="auto" w:fill="auto"/>
            <w:noWrap/>
            <w:vAlign w:val="bottom"/>
            <w:hideMark/>
          </w:tcPr>
          <w:p w14:paraId="0FA247DE" w14:textId="77777777" w:rsidR="00EF50A6" w:rsidRPr="00DB4F05" w:rsidRDefault="00EF50A6" w:rsidP="0033261E">
            <w:pPr>
              <w:spacing w:line="240" w:lineRule="auto"/>
            </w:pPr>
            <w:r w:rsidRPr="00DB4F05">
              <w:t>2818</w:t>
            </w:r>
          </w:p>
        </w:tc>
        <w:tc>
          <w:tcPr>
            <w:tcW w:w="5120" w:type="dxa"/>
            <w:shd w:val="clear" w:color="auto" w:fill="auto"/>
            <w:noWrap/>
            <w:vAlign w:val="bottom"/>
            <w:hideMark/>
          </w:tcPr>
          <w:p w14:paraId="5FABC06D" w14:textId="77777777" w:rsidR="00EF50A6" w:rsidRPr="00DB4F05" w:rsidRDefault="00EF50A6" w:rsidP="0033261E">
            <w:pPr>
              <w:spacing w:line="240" w:lineRule="auto"/>
            </w:pPr>
            <w:r w:rsidRPr="00DB4F05">
              <w:t>Corindo artificial, quimicamente definido ou não; óxido de alumínio; hidróxido de alumínio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01F8F4" w14:textId="77777777" w:rsidR="00EF50A6" w:rsidRPr="00DB4F05" w:rsidRDefault="00EF50A6" w:rsidP="0033261E">
            <w:pPr>
              <w:spacing w:line="240" w:lineRule="auto"/>
            </w:pPr>
            <w:r w:rsidRPr="00DB4F05">
              <w:t>0,02</w:t>
            </w:r>
          </w:p>
        </w:tc>
        <w:tc>
          <w:tcPr>
            <w:tcW w:w="1563" w:type="dxa"/>
            <w:shd w:val="clear" w:color="auto" w:fill="auto"/>
            <w:noWrap/>
            <w:vAlign w:val="bottom"/>
            <w:hideMark/>
          </w:tcPr>
          <w:p w14:paraId="75B87CEF" w14:textId="77777777" w:rsidR="00EF50A6" w:rsidRPr="00DB4F05" w:rsidRDefault="00EF50A6" w:rsidP="0033261E">
            <w:pPr>
              <w:spacing w:line="240" w:lineRule="auto"/>
            </w:pPr>
            <w:r w:rsidRPr="00DB4F05">
              <w:t>0,03</w:t>
            </w:r>
          </w:p>
        </w:tc>
      </w:tr>
      <w:tr w:rsidR="00950F9F" w:rsidRPr="00DB4F05" w14:paraId="4EC32AD4" w14:textId="77777777" w:rsidTr="00132F1E">
        <w:trPr>
          <w:trHeight w:val="320"/>
        </w:trPr>
        <w:tc>
          <w:tcPr>
            <w:tcW w:w="1117" w:type="dxa"/>
            <w:shd w:val="clear" w:color="auto" w:fill="auto"/>
            <w:noWrap/>
            <w:vAlign w:val="bottom"/>
            <w:hideMark/>
          </w:tcPr>
          <w:p w14:paraId="5C72328A" w14:textId="77777777" w:rsidR="00EF50A6" w:rsidRPr="00DB4F05" w:rsidRDefault="00EF50A6" w:rsidP="0033261E">
            <w:pPr>
              <w:spacing w:line="240" w:lineRule="auto"/>
            </w:pPr>
            <w:r w:rsidRPr="00DB4F05">
              <w:t>2804</w:t>
            </w:r>
          </w:p>
        </w:tc>
        <w:tc>
          <w:tcPr>
            <w:tcW w:w="5120" w:type="dxa"/>
            <w:shd w:val="clear" w:color="auto" w:fill="auto"/>
            <w:noWrap/>
            <w:vAlign w:val="bottom"/>
            <w:hideMark/>
          </w:tcPr>
          <w:p w14:paraId="2409B100" w14:textId="77777777" w:rsidR="00EF50A6" w:rsidRPr="00DB4F05" w:rsidRDefault="00EF50A6" w:rsidP="0033261E">
            <w:pPr>
              <w:spacing w:line="240" w:lineRule="auto"/>
            </w:pPr>
            <w:r w:rsidRPr="00DB4F05">
              <w:t>Hidrogénio, gases raros e outros elementos não metálicos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D810D0" w14:textId="77777777" w:rsidR="00EF50A6" w:rsidRPr="00DB4F05" w:rsidRDefault="00EF50A6" w:rsidP="0033261E">
            <w:pPr>
              <w:spacing w:line="240" w:lineRule="auto"/>
            </w:pPr>
            <w:r w:rsidRPr="00DB4F05">
              <w:t>0,01</w:t>
            </w:r>
          </w:p>
        </w:tc>
        <w:tc>
          <w:tcPr>
            <w:tcW w:w="1563" w:type="dxa"/>
            <w:shd w:val="clear" w:color="auto" w:fill="auto"/>
            <w:noWrap/>
            <w:vAlign w:val="bottom"/>
            <w:hideMark/>
          </w:tcPr>
          <w:p w14:paraId="5609BDCC" w14:textId="77777777" w:rsidR="00EF50A6" w:rsidRPr="00DB4F05" w:rsidRDefault="00EF50A6" w:rsidP="0033261E">
            <w:pPr>
              <w:spacing w:line="240" w:lineRule="auto"/>
            </w:pPr>
            <w:r w:rsidRPr="00DB4F05">
              <w:t>0,02</w:t>
            </w:r>
          </w:p>
        </w:tc>
      </w:tr>
      <w:tr w:rsidR="00950F9F" w:rsidRPr="00DB4F05" w14:paraId="10271EA7" w14:textId="77777777" w:rsidTr="00132F1E">
        <w:trPr>
          <w:trHeight w:val="320"/>
        </w:trPr>
        <w:tc>
          <w:tcPr>
            <w:tcW w:w="1117" w:type="dxa"/>
            <w:shd w:val="clear" w:color="auto" w:fill="auto"/>
            <w:noWrap/>
            <w:vAlign w:val="bottom"/>
            <w:hideMark/>
          </w:tcPr>
          <w:p w14:paraId="304EDA30" w14:textId="77777777" w:rsidR="00EF50A6" w:rsidRPr="00DB4F05" w:rsidRDefault="00EF50A6" w:rsidP="0033261E">
            <w:pPr>
              <w:spacing w:line="240" w:lineRule="auto"/>
            </w:pPr>
            <w:r w:rsidRPr="00DB4F05">
              <w:t>2715</w:t>
            </w:r>
          </w:p>
        </w:tc>
        <w:tc>
          <w:tcPr>
            <w:tcW w:w="5120" w:type="dxa"/>
            <w:shd w:val="clear" w:color="auto" w:fill="auto"/>
            <w:noWrap/>
            <w:vAlign w:val="bottom"/>
            <w:hideMark/>
          </w:tcPr>
          <w:p w14:paraId="5C152EBD" w14:textId="77777777" w:rsidR="00EF50A6" w:rsidRPr="00DB4F05" w:rsidRDefault="00EF50A6" w:rsidP="0033261E">
            <w:pPr>
              <w:spacing w:line="240" w:lineRule="auto"/>
            </w:pPr>
            <w:r w:rsidRPr="00DB4F05">
              <w:t>Misturas betuminosas à base de asfalto ou de betume naturais, de betume de petróleo, de alcatrão mineral ou de breu de alcatrão mineral (por exemplo, mástiques betuminosos e cut-backs)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AEF78E" w14:textId="77777777" w:rsidR="00EF50A6" w:rsidRPr="00DB4F05" w:rsidRDefault="00EF50A6" w:rsidP="0033261E">
            <w:pPr>
              <w:spacing w:line="240" w:lineRule="auto"/>
            </w:pPr>
            <w:r w:rsidRPr="00DB4F05">
              <w:t>0,00</w:t>
            </w:r>
          </w:p>
        </w:tc>
        <w:tc>
          <w:tcPr>
            <w:tcW w:w="1563" w:type="dxa"/>
            <w:shd w:val="clear" w:color="auto" w:fill="auto"/>
            <w:noWrap/>
            <w:vAlign w:val="bottom"/>
            <w:hideMark/>
          </w:tcPr>
          <w:p w14:paraId="5A5BD5D4" w14:textId="77777777" w:rsidR="00EF50A6" w:rsidRPr="00DB4F05" w:rsidRDefault="00EF50A6" w:rsidP="0033261E">
            <w:pPr>
              <w:spacing w:line="240" w:lineRule="auto"/>
            </w:pPr>
            <w:r w:rsidRPr="00DB4F05">
              <w:t>0,46</w:t>
            </w:r>
          </w:p>
        </w:tc>
      </w:tr>
      <w:tr w:rsidR="00950F9F" w:rsidRPr="00DB4F05" w14:paraId="3363114D" w14:textId="77777777" w:rsidTr="00132F1E">
        <w:trPr>
          <w:trHeight w:val="320"/>
        </w:trPr>
        <w:tc>
          <w:tcPr>
            <w:tcW w:w="1117" w:type="dxa"/>
            <w:shd w:val="clear" w:color="auto" w:fill="auto"/>
            <w:noWrap/>
            <w:vAlign w:val="bottom"/>
            <w:hideMark/>
          </w:tcPr>
          <w:p w14:paraId="47CFB114" w14:textId="77777777" w:rsidR="00EF50A6" w:rsidRPr="00DB4F05" w:rsidRDefault="00EF50A6" w:rsidP="0033261E">
            <w:pPr>
              <w:spacing w:line="240" w:lineRule="auto"/>
            </w:pPr>
            <w:r w:rsidRPr="00DB4F05">
              <w:t>5607</w:t>
            </w:r>
          </w:p>
        </w:tc>
        <w:tc>
          <w:tcPr>
            <w:tcW w:w="5120" w:type="dxa"/>
            <w:shd w:val="clear" w:color="auto" w:fill="auto"/>
            <w:noWrap/>
            <w:vAlign w:val="bottom"/>
            <w:hideMark/>
          </w:tcPr>
          <w:p w14:paraId="05C91FE4" w14:textId="77777777" w:rsidR="00EF50A6" w:rsidRPr="00DB4F05" w:rsidRDefault="00EF50A6" w:rsidP="0033261E">
            <w:pPr>
              <w:spacing w:line="240" w:lineRule="auto"/>
            </w:pPr>
            <w:r w:rsidRPr="00DB4F05">
              <w:t>Cordéis, cordas e cabos, entrançados ou não, mesmo impregnados, revestidos, recobertos ou embainhados de borracha ou de plástico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D91638" w14:textId="77777777" w:rsidR="00EF50A6" w:rsidRPr="00DB4F05" w:rsidRDefault="00EF50A6" w:rsidP="0033261E">
            <w:pPr>
              <w:spacing w:line="240" w:lineRule="auto"/>
            </w:pPr>
            <w:r w:rsidRPr="00DB4F05">
              <w:t>0,00</w:t>
            </w:r>
          </w:p>
        </w:tc>
        <w:tc>
          <w:tcPr>
            <w:tcW w:w="1563" w:type="dxa"/>
            <w:shd w:val="clear" w:color="auto" w:fill="auto"/>
            <w:noWrap/>
            <w:vAlign w:val="bottom"/>
            <w:hideMark/>
          </w:tcPr>
          <w:p w14:paraId="16361227" w14:textId="77777777" w:rsidR="00EF50A6" w:rsidRPr="00DB4F05" w:rsidRDefault="00EF50A6" w:rsidP="0033261E">
            <w:pPr>
              <w:spacing w:line="240" w:lineRule="auto"/>
            </w:pPr>
            <w:r w:rsidRPr="00DB4F05">
              <w:t>0,07</w:t>
            </w:r>
          </w:p>
        </w:tc>
      </w:tr>
      <w:tr w:rsidR="00950F9F" w:rsidRPr="00DB4F05" w14:paraId="563D6C13" w14:textId="77777777" w:rsidTr="00132F1E">
        <w:trPr>
          <w:trHeight w:val="320"/>
        </w:trPr>
        <w:tc>
          <w:tcPr>
            <w:tcW w:w="1117" w:type="dxa"/>
            <w:shd w:val="clear" w:color="auto" w:fill="auto"/>
            <w:noWrap/>
            <w:vAlign w:val="bottom"/>
            <w:hideMark/>
          </w:tcPr>
          <w:p w14:paraId="7A9B741C" w14:textId="653DFDE7" w:rsidR="00EF50A6" w:rsidRPr="00DB4F05" w:rsidRDefault="00EF50A6" w:rsidP="0033261E">
            <w:pPr>
              <w:spacing w:line="240" w:lineRule="auto"/>
              <w:rPr>
                <w:lang w:val="pt-BR"/>
              </w:rPr>
            </w:pPr>
          </w:p>
        </w:tc>
        <w:tc>
          <w:tcPr>
            <w:tcW w:w="5120" w:type="dxa"/>
            <w:shd w:val="clear" w:color="auto" w:fill="auto"/>
            <w:noWrap/>
            <w:vAlign w:val="bottom"/>
            <w:hideMark/>
          </w:tcPr>
          <w:p w14:paraId="38C25EC4" w14:textId="259DA934" w:rsidR="00EF50A6" w:rsidRPr="00DB4F05" w:rsidRDefault="00234DA5" w:rsidP="0033261E">
            <w:pPr>
              <w:spacing w:line="240" w:lineRule="auto"/>
            </w:pPr>
            <w:r w:rsidRPr="00DB4F05">
              <w:rPr>
                <w:lang w:val="pt-BR"/>
              </w:rPr>
              <w:t>Demais</w:t>
            </w:r>
            <w:r w:rsidR="00132F1E" w:rsidRPr="00DB4F05">
              <w:rPr>
                <w:lang w:val="pt-BR"/>
              </w:rPr>
              <w:t xml:space="preserve"> Produtos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BA6424" w14:textId="5FC9114F" w:rsidR="00EF50A6" w:rsidRPr="00DB4F05" w:rsidRDefault="00F8625C" w:rsidP="0033261E">
            <w:pPr>
              <w:spacing w:line="240" w:lineRule="auto"/>
              <w:rPr>
                <w:lang w:val="pt-BR"/>
              </w:rPr>
            </w:pPr>
            <w:r w:rsidRPr="00DB4F05">
              <w:rPr>
                <w:lang w:val="pt-BR"/>
              </w:rPr>
              <w:t>0,0</w:t>
            </w:r>
            <w:r w:rsidR="008F32B4" w:rsidRPr="00DB4F05">
              <w:rPr>
                <w:lang w:val="pt-BR"/>
              </w:rPr>
              <w:t>9</w:t>
            </w:r>
          </w:p>
        </w:tc>
        <w:tc>
          <w:tcPr>
            <w:tcW w:w="1563" w:type="dxa"/>
            <w:shd w:val="clear" w:color="auto" w:fill="auto"/>
            <w:noWrap/>
            <w:vAlign w:val="bottom"/>
            <w:hideMark/>
          </w:tcPr>
          <w:p w14:paraId="70A071DF" w14:textId="5D866E23" w:rsidR="00EF50A6" w:rsidRPr="00DB4F05" w:rsidRDefault="00EF50A6" w:rsidP="0033261E">
            <w:pPr>
              <w:spacing w:line="240" w:lineRule="auto"/>
            </w:pPr>
          </w:p>
        </w:tc>
      </w:tr>
      <w:tr w:rsidR="00C42962" w:rsidRPr="00DB4F05" w14:paraId="3252E669" w14:textId="77777777" w:rsidTr="00132F1E">
        <w:trPr>
          <w:trHeight w:val="320"/>
        </w:trPr>
        <w:tc>
          <w:tcPr>
            <w:tcW w:w="1117" w:type="dxa"/>
            <w:shd w:val="clear" w:color="auto" w:fill="auto"/>
            <w:noWrap/>
            <w:vAlign w:val="bottom"/>
          </w:tcPr>
          <w:p w14:paraId="3728954E" w14:textId="150EA013" w:rsidR="00C42962" w:rsidRPr="00DB4F05" w:rsidRDefault="00C42962" w:rsidP="0033261E">
            <w:pPr>
              <w:spacing w:line="240" w:lineRule="auto"/>
              <w:rPr>
                <w:lang w:val="pt-BR"/>
              </w:rPr>
            </w:pPr>
          </w:p>
        </w:tc>
        <w:tc>
          <w:tcPr>
            <w:tcW w:w="5120" w:type="dxa"/>
            <w:shd w:val="clear" w:color="auto" w:fill="auto"/>
            <w:noWrap/>
            <w:vAlign w:val="bottom"/>
          </w:tcPr>
          <w:p w14:paraId="2AF4A94E" w14:textId="6D1FB9CA" w:rsidR="00C42962" w:rsidRPr="00DB4F05" w:rsidRDefault="00132F1E" w:rsidP="0033261E">
            <w:pPr>
              <w:spacing w:line="240" w:lineRule="auto"/>
            </w:pPr>
            <w:r w:rsidRPr="00DB4F05">
              <w:rPr>
                <w:lang w:val="pt-BR"/>
              </w:rPr>
              <w:t>Total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070FD242" w14:textId="3E61DF09" w:rsidR="00C42962" w:rsidRPr="00DB4F05" w:rsidRDefault="00EC59C7" w:rsidP="0033261E">
            <w:pPr>
              <w:spacing w:line="240" w:lineRule="auto"/>
              <w:rPr>
                <w:lang w:val="pt-BR"/>
              </w:rPr>
            </w:pPr>
            <w:r w:rsidRPr="00DB4F05">
              <w:rPr>
                <w:lang w:val="pt-BR"/>
              </w:rPr>
              <w:t>85,83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14:paraId="0501D4F1" w14:textId="77777777" w:rsidR="00C42962" w:rsidRPr="00DB4F05" w:rsidRDefault="00C42962" w:rsidP="0033261E">
            <w:pPr>
              <w:spacing w:line="240" w:lineRule="auto"/>
            </w:pPr>
          </w:p>
        </w:tc>
      </w:tr>
    </w:tbl>
    <w:p w14:paraId="57130CD9" w14:textId="77777777" w:rsidR="0033261E" w:rsidRPr="0033261E" w:rsidRDefault="0033261E" w:rsidP="0033261E">
      <w:pPr>
        <w:pStyle w:val="Textodenotaderodap"/>
        <w:rPr>
          <w:rStyle w:val="nfaseSutil"/>
          <w:rFonts w:ascii="Times" w:hAnsi="Times"/>
          <w:i w:val="0"/>
          <w:iCs w:val="0"/>
          <w:color w:val="000000" w:themeColor="text1"/>
        </w:rPr>
      </w:pPr>
      <w:r w:rsidRPr="0033261E">
        <w:rPr>
          <w:rStyle w:val="nfaseSutil"/>
          <w:rFonts w:ascii="Times" w:hAnsi="Times"/>
          <w:i w:val="0"/>
          <w:iCs w:val="0"/>
          <w:color w:val="000000" w:themeColor="text1"/>
        </w:rPr>
        <w:t xml:space="preserve">Fonte: Elaboração própria partir de dados da Secretaria de Comércio Exterior (SECEX) e Observatório de Complexidade Econômica (OCE). </w:t>
      </w:r>
    </w:p>
    <w:p w14:paraId="7273499E" w14:textId="0AA9D118" w:rsidR="001E2924" w:rsidRPr="00DB4F05" w:rsidRDefault="00417D54" w:rsidP="00E20427">
      <w:pPr>
        <w:rPr>
          <w:lang w:val="pt-BR"/>
        </w:rPr>
      </w:pPr>
      <w:r w:rsidRPr="00DB4F05">
        <w:rPr>
          <w:lang w:val="pt-BR"/>
        </w:rPr>
        <w:t>Nota-se que, d</w:t>
      </w:r>
      <w:r w:rsidRPr="00DB4F05">
        <w:t>iferentemente do observado nos grupos anteriores, não se verificam setores altamente especializados no mercado norte-americano. A maior participação relativa é observada no grupo de pedras de cantaria ou de construção (6802), em que 10,93% das exportações tiveram como destino os Estados Unidos, percentual insuficiente para caracterizar uma dependência significativa.</w:t>
      </w:r>
    </w:p>
    <w:p w14:paraId="4A4FB3FF" w14:textId="390F8F90" w:rsidR="001E2924" w:rsidRPr="00DB4F05" w:rsidRDefault="001E2924" w:rsidP="00E20427">
      <w:pPr>
        <w:rPr>
          <w:rStyle w:val="apple-converted-space"/>
          <w:sz w:val="27"/>
          <w:szCs w:val="27"/>
        </w:rPr>
      </w:pPr>
      <w:r w:rsidRPr="00DB4F05">
        <w:t xml:space="preserve">A Tabela 3 evidencia os grupos sem qualquer tipo de isenção. Trata-se da situação mais preocupante, pois abrange 428 posições tarifárias, todas expostas integralmente à tarifa de 50%. </w:t>
      </w:r>
      <w:r w:rsidR="00384F3C">
        <w:rPr>
          <w:lang w:val="pt-BR"/>
        </w:rPr>
        <w:t>O total de produtos</w:t>
      </w:r>
      <w:r w:rsidRPr="00DB4F05">
        <w:t xml:space="preserve"> dessa categoria</w:t>
      </w:r>
      <w:r w:rsidR="00384F3C">
        <w:rPr>
          <w:lang w:val="pt-BR"/>
        </w:rPr>
        <w:t>, isto é, exposição integral,</w:t>
      </w:r>
      <w:r w:rsidRPr="00DB4F05">
        <w:t xml:space="preserve"> somaram 493,93 milhões de dólares em exportações no período, correspondendo a 59% do total enviado pela região ao mercado norte-americano.</w:t>
      </w:r>
      <w:r w:rsidRPr="00DB4F05">
        <w:rPr>
          <w:rStyle w:val="apple-converted-space"/>
          <w:sz w:val="27"/>
          <w:szCs w:val="27"/>
        </w:rPr>
        <w:t> </w:t>
      </w:r>
    </w:p>
    <w:p w14:paraId="358A1133" w14:textId="425EE60C" w:rsidR="00B90836" w:rsidRPr="00DB4F05" w:rsidRDefault="00F8383B" w:rsidP="00B41427">
      <w:pPr>
        <w:jc w:val="center"/>
        <w:rPr>
          <w:lang w:val="pt-BR"/>
        </w:rPr>
      </w:pPr>
      <w:r w:rsidRPr="00DB4F05">
        <w:rPr>
          <w:b/>
          <w:bCs/>
          <w:lang w:val="pt-BR"/>
        </w:rPr>
        <w:t>Tabela 3</w:t>
      </w:r>
      <w:r w:rsidRPr="00DB4F05">
        <w:rPr>
          <w:lang w:val="pt-BR"/>
        </w:rPr>
        <w:t xml:space="preserve"> – Principais grupos sem isenções (12 meses, agosto/24 a julho/25)</w:t>
      </w:r>
    </w:p>
    <w:tbl>
      <w:tblPr>
        <w:tblW w:w="5225" w:type="pct"/>
        <w:tblBorders>
          <w:top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245"/>
        <w:gridCol w:w="1559"/>
        <w:gridCol w:w="1559"/>
      </w:tblGrid>
      <w:tr w:rsidR="00187104" w:rsidRPr="00DB4F05" w14:paraId="62A173C8" w14:textId="77777777" w:rsidTr="00F8383B">
        <w:trPr>
          <w:trHeight w:val="340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14:paraId="4F1BCA6F" w14:textId="2EA72349" w:rsidR="009A70C5" w:rsidRPr="0033261E" w:rsidRDefault="009A70C5" w:rsidP="0033261E">
            <w:pPr>
              <w:spacing w:line="240" w:lineRule="auto"/>
              <w:rPr>
                <w:b/>
                <w:bCs/>
              </w:rPr>
            </w:pPr>
            <w:r w:rsidRPr="0033261E">
              <w:rPr>
                <w:b/>
                <w:bCs/>
                <w:lang w:val="pt-BR"/>
              </w:rPr>
              <w:lastRenderedPageBreak/>
              <w:t>NCM – 4 dígitos</w:t>
            </w:r>
          </w:p>
        </w:tc>
        <w:tc>
          <w:tcPr>
            <w:tcW w:w="2681" w:type="pct"/>
            <w:shd w:val="clear" w:color="auto" w:fill="auto"/>
            <w:noWrap/>
            <w:vAlign w:val="center"/>
            <w:hideMark/>
          </w:tcPr>
          <w:p w14:paraId="7831F65D" w14:textId="1A1DA284" w:rsidR="009A70C5" w:rsidRPr="0033261E" w:rsidRDefault="009A70C5" w:rsidP="0033261E">
            <w:pPr>
              <w:spacing w:line="240" w:lineRule="auto"/>
              <w:rPr>
                <w:b/>
                <w:bCs/>
              </w:rPr>
            </w:pPr>
            <w:r w:rsidRPr="0033261E">
              <w:rPr>
                <w:b/>
                <w:bCs/>
              </w:rPr>
              <w:t>Descriçã</w:t>
            </w:r>
            <w:r w:rsidRPr="0033261E">
              <w:rPr>
                <w:b/>
                <w:bCs/>
                <w:lang w:val="pt-BR"/>
              </w:rPr>
              <w:t>o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14:paraId="2FC53929" w14:textId="0951DFE5" w:rsidR="009A70C5" w:rsidRPr="0033261E" w:rsidRDefault="009A70C5" w:rsidP="0033261E">
            <w:pPr>
              <w:spacing w:line="240" w:lineRule="auto"/>
              <w:rPr>
                <w:b/>
                <w:bCs/>
              </w:rPr>
            </w:pPr>
            <w:r w:rsidRPr="0033261E">
              <w:rPr>
                <w:b/>
                <w:bCs/>
                <w:lang w:val="pt-BR"/>
              </w:rPr>
              <w:t>Valor Exportado (Milhões de USD)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14:paraId="3C2E989C" w14:textId="18428DDE" w:rsidR="009A70C5" w:rsidRPr="0033261E" w:rsidRDefault="009A70C5" w:rsidP="0033261E">
            <w:pPr>
              <w:spacing w:line="240" w:lineRule="auto"/>
              <w:rPr>
                <w:b/>
                <w:bCs/>
              </w:rPr>
            </w:pPr>
            <w:r w:rsidRPr="0033261E">
              <w:rPr>
                <w:b/>
                <w:bCs/>
                <w:lang w:val="pt-BR"/>
              </w:rPr>
              <w:t>% das Exportações totais</w:t>
            </w:r>
          </w:p>
        </w:tc>
      </w:tr>
      <w:tr w:rsidR="00187104" w:rsidRPr="00DB4F05" w14:paraId="23BF9DB2" w14:textId="77777777" w:rsidTr="00F8383B">
        <w:trPr>
          <w:trHeight w:val="320"/>
        </w:trPr>
        <w:tc>
          <w:tcPr>
            <w:tcW w:w="725" w:type="pct"/>
            <w:shd w:val="clear" w:color="auto" w:fill="auto"/>
            <w:noWrap/>
            <w:vAlign w:val="bottom"/>
            <w:hideMark/>
          </w:tcPr>
          <w:p w14:paraId="66E3BB10" w14:textId="77777777" w:rsidR="00D02051" w:rsidRPr="00DB4F05" w:rsidRDefault="00D02051" w:rsidP="0033261E">
            <w:pPr>
              <w:spacing w:line="240" w:lineRule="auto"/>
            </w:pPr>
            <w:r w:rsidRPr="00DB4F05">
              <w:t>1602</w:t>
            </w:r>
          </w:p>
        </w:tc>
        <w:tc>
          <w:tcPr>
            <w:tcW w:w="2681" w:type="pct"/>
            <w:shd w:val="clear" w:color="auto" w:fill="auto"/>
            <w:noWrap/>
            <w:vAlign w:val="bottom"/>
            <w:hideMark/>
          </w:tcPr>
          <w:p w14:paraId="498C34DF" w14:textId="77777777" w:rsidR="00D02051" w:rsidRPr="00DB4F05" w:rsidRDefault="00D02051" w:rsidP="0033261E">
            <w:pPr>
              <w:spacing w:line="240" w:lineRule="auto"/>
            </w:pPr>
            <w:r w:rsidRPr="00DB4F05">
              <w:t>Outras preparações e conservas de carne, miudezas ou sangue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22D5239C" w14:textId="0A918C9D" w:rsidR="00D02051" w:rsidRPr="00DB4F05" w:rsidRDefault="00D02051" w:rsidP="0033261E">
            <w:pPr>
              <w:spacing w:line="240" w:lineRule="auto"/>
            </w:pPr>
            <w:r w:rsidRPr="00DB4F05">
              <w:t>115,09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65C3CDEB" w14:textId="77777777" w:rsidR="00D02051" w:rsidRPr="00DB4F05" w:rsidRDefault="00D02051" w:rsidP="0033261E">
            <w:pPr>
              <w:spacing w:line="240" w:lineRule="auto"/>
            </w:pPr>
            <w:r w:rsidRPr="00DB4F05">
              <w:t>19,96</w:t>
            </w:r>
          </w:p>
        </w:tc>
      </w:tr>
      <w:tr w:rsidR="00187104" w:rsidRPr="00DB4F05" w14:paraId="4DBE84BF" w14:textId="77777777" w:rsidTr="00F8383B">
        <w:trPr>
          <w:trHeight w:val="320"/>
        </w:trPr>
        <w:tc>
          <w:tcPr>
            <w:tcW w:w="725" w:type="pct"/>
            <w:shd w:val="clear" w:color="auto" w:fill="auto"/>
            <w:noWrap/>
            <w:vAlign w:val="bottom"/>
            <w:hideMark/>
          </w:tcPr>
          <w:p w14:paraId="091169AB" w14:textId="77777777" w:rsidR="00D02051" w:rsidRPr="00DB4F05" w:rsidRDefault="00D02051" w:rsidP="0033261E">
            <w:pPr>
              <w:spacing w:line="240" w:lineRule="auto"/>
            </w:pPr>
            <w:r w:rsidRPr="00DB4F05">
              <w:t>3004</w:t>
            </w:r>
          </w:p>
        </w:tc>
        <w:tc>
          <w:tcPr>
            <w:tcW w:w="2681" w:type="pct"/>
            <w:shd w:val="clear" w:color="auto" w:fill="auto"/>
            <w:noWrap/>
            <w:vAlign w:val="bottom"/>
            <w:hideMark/>
          </w:tcPr>
          <w:p w14:paraId="7C0F7AD7" w14:textId="77777777" w:rsidR="00D02051" w:rsidRPr="00DB4F05" w:rsidRDefault="00D02051" w:rsidP="0033261E">
            <w:pPr>
              <w:spacing w:line="240" w:lineRule="auto"/>
            </w:pPr>
            <w:r w:rsidRPr="00DB4F05">
              <w:t>Medicamentos (exceto os produtos das posições 3002, 3005 ou 3006) constituídos por produtos misturados ou não misturados, preparados para fins terapêuticos ou profilácticos, apresentados em doses (incluindo os destinados a serem administrados por via sub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78E8935F" w14:textId="0FA46219" w:rsidR="00D02051" w:rsidRPr="00DB4F05" w:rsidRDefault="00D02051" w:rsidP="0033261E">
            <w:pPr>
              <w:spacing w:line="240" w:lineRule="auto"/>
            </w:pPr>
            <w:r w:rsidRPr="00DB4F05">
              <w:t>52,10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0D6A9ABA" w14:textId="77777777" w:rsidR="00D02051" w:rsidRPr="00DB4F05" w:rsidRDefault="00D02051" w:rsidP="0033261E">
            <w:pPr>
              <w:spacing w:line="240" w:lineRule="auto"/>
            </w:pPr>
            <w:r w:rsidRPr="00DB4F05">
              <w:t>9,11</w:t>
            </w:r>
          </w:p>
        </w:tc>
      </w:tr>
      <w:tr w:rsidR="00187104" w:rsidRPr="00DB4F05" w14:paraId="1900E57E" w14:textId="77777777" w:rsidTr="00F8383B">
        <w:trPr>
          <w:trHeight w:val="320"/>
        </w:trPr>
        <w:tc>
          <w:tcPr>
            <w:tcW w:w="725" w:type="pct"/>
            <w:shd w:val="clear" w:color="auto" w:fill="auto"/>
            <w:noWrap/>
            <w:vAlign w:val="bottom"/>
            <w:hideMark/>
          </w:tcPr>
          <w:p w14:paraId="20F76F8D" w14:textId="77777777" w:rsidR="00D02051" w:rsidRPr="00DB4F05" w:rsidRDefault="00D02051" w:rsidP="0033261E">
            <w:pPr>
              <w:spacing w:line="240" w:lineRule="auto"/>
            </w:pPr>
            <w:r w:rsidRPr="00DB4F05">
              <w:t>8429</w:t>
            </w:r>
          </w:p>
        </w:tc>
        <w:tc>
          <w:tcPr>
            <w:tcW w:w="2681" w:type="pct"/>
            <w:shd w:val="clear" w:color="auto" w:fill="auto"/>
            <w:noWrap/>
            <w:vAlign w:val="bottom"/>
            <w:hideMark/>
          </w:tcPr>
          <w:p w14:paraId="4F7F37BC" w14:textId="77777777" w:rsidR="00D02051" w:rsidRPr="00DB4F05" w:rsidRDefault="00D02051" w:rsidP="0033261E">
            <w:pPr>
              <w:spacing w:line="240" w:lineRule="auto"/>
            </w:pPr>
            <w:r w:rsidRPr="00DB4F05">
              <w:t>Bulldozers, angledozers, niveladoras, raspo-transportadoras (scrapers), pás mecânicas, escavadoras, carregadoras e pás carregadoras, compactadores e rolos ou cilindros compressores, autopropulsores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5E89F406" w14:textId="5BD6F812" w:rsidR="00D02051" w:rsidRPr="00DB4F05" w:rsidRDefault="00D02051" w:rsidP="0033261E">
            <w:pPr>
              <w:spacing w:line="240" w:lineRule="auto"/>
            </w:pPr>
            <w:r w:rsidRPr="00DB4F05">
              <w:t>46,70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6D636404" w14:textId="77777777" w:rsidR="00D02051" w:rsidRPr="00DB4F05" w:rsidRDefault="00D02051" w:rsidP="0033261E">
            <w:pPr>
              <w:spacing w:line="240" w:lineRule="auto"/>
            </w:pPr>
            <w:r w:rsidRPr="00DB4F05">
              <w:t>2,33</w:t>
            </w:r>
          </w:p>
        </w:tc>
      </w:tr>
      <w:tr w:rsidR="00187104" w:rsidRPr="00DB4F05" w14:paraId="1BA68B79" w14:textId="77777777" w:rsidTr="00F8383B">
        <w:trPr>
          <w:trHeight w:val="320"/>
        </w:trPr>
        <w:tc>
          <w:tcPr>
            <w:tcW w:w="725" w:type="pct"/>
            <w:shd w:val="clear" w:color="auto" w:fill="auto"/>
            <w:noWrap/>
            <w:vAlign w:val="bottom"/>
            <w:hideMark/>
          </w:tcPr>
          <w:p w14:paraId="5270C5F3" w14:textId="77777777" w:rsidR="00D02051" w:rsidRPr="00DB4F05" w:rsidRDefault="00D02051" w:rsidP="0033261E">
            <w:pPr>
              <w:spacing w:line="240" w:lineRule="auto"/>
            </w:pPr>
            <w:r w:rsidRPr="00DB4F05">
              <w:t>8503</w:t>
            </w:r>
          </w:p>
        </w:tc>
        <w:tc>
          <w:tcPr>
            <w:tcW w:w="2681" w:type="pct"/>
            <w:shd w:val="clear" w:color="auto" w:fill="auto"/>
            <w:noWrap/>
            <w:vAlign w:val="bottom"/>
            <w:hideMark/>
          </w:tcPr>
          <w:p w14:paraId="4B66D770" w14:textId="77777777" w:rsidR="00D02051" w:rsidRPr="00DB4F05" w:rsidRDefault="00D02051" w:rsidP="0033261E">
            <w:pPr>
              <w:spacing w:line="240" w:lineRule="auto"/>
            </w:pPr>
            <w:r w:rsidRPr="00DB4F05">
              <w:t>Partes reconhecíveis como destinadas às máquinas das posições 8501 ou 8502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4363CD90" w14:textId="24EC3FFC" w:rsidR="00D02051" w:rsidRPr="00DB4F05" w:rsidRDefault="00D02051" w:rsidP="0033261E">
            <w:pPr>
              <w:spacing w:line="240" w:lineRule="auto"/>
            </w:pPr>
            <w:r w:rsidRPr="00DB4F05">
              <w:t>24,28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66D1DA09" w14:textId="77777777" w:rsidR="00D02051" w:rsidRPr="00DB4F05" w:rsidRDefault="00D02051" w:rsidP="0033261E">
            <w:pPr>
              <w:spacing w:line="240" w:lineRule="auto"/>
            </w:pPr>
            <w:r w:rsidRPr="00DB4F05">
              <w:t>40,32</w:t>
            </w:r>
          </w:p>
        </w:tc>
      </w:tr>
      <w:tr w:rsidR="00187104" w:rsidRPr="00DB4F05" w14:paraId="4A35F006" w14:textId="77777777" w:rsidTr="00F8383B">
        <w:trPr>
          <w:trHeight w:val="320"/>
        </w:trPr>
        <w:tc>
          <w:tcPr>
            <w:tcW w:w="725" w:type="pct"/>
            <w:shd w:val="clear" w:color="auto" w:fill="auto"/>
            <w:noWrap/>
            <w:vAlign w:val="bottom"/>
            <w:hideMark/>
          </w:tcPr>
          <w:p w14:paraId="5F4172A1" w14:textId="77777777" w:rsidR="00D02051" w:rsidRPr="00DB4F05" w:rsidRDefault="00D02051" w:rsidP="0033261E">
            <w:pPr>
              <w:spacing w:line="240" w:lineRule="auto"/>
            </w:pPr>
            <w:r w:rsidRPr="00DB4F05">
              <w:t>7228</w:t>
            </w:r>
          </w:p>
        </w:tc>
        <w:tc>
          <w:tcPr>
            <w:tcW w:w="2681" w:type="pct"/>
            <w:shd w:val="clear" w:color="auto" w:fill="auto"/>
            <w:noWrap/>
            <w:vAlign w:val="bottom"/>
            <w:hideMark/>
          </w:tcPr>
          <w:p w14:paraId="6CD763E0" w14:textId="77777777" w:rsidR="00D02051" w:rsidRPr="00DB4F05" w:rsidRDefault="00D02051" w:rsidP="0033261E">
            <w:pPr>
              <w:spacing w:line="240" w:lineRule="auto"/>
            </w:pPr>
            <w:r w:rsidRPr="00DB4F05">
              <w:t>Barras e perfis, de outras ligas de aço; barras ocas para perfuração, de ligas de aço ou de aço não ligado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1E1F7CF7" w14:textId="557035E7" w:rsidR="00D02051" w:rsidRPr="00DB4F05" w:rsidRDefault="00D02051" w:rsidP="0033261E">
            <w:pPr>
              <w:spacing w:line="240" w:lineRule="auto"/>
            </w:pPr>
            <w:r w:rsidRPr="00DB4F05">
              <w:t>20,94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3909DB7C" w14:textId="77777777" w:rsidR="00D02051" w:rsidRPr="00DB4F05" w:rsidRDefault="00D02051" w:rsidP="0033261E">
            <w:pPr>
              <w:spacing w:line="240" w:lineRule="auto"/>
            </w:pPr>
            <w:r w:rsidRPr="00DB4F05">
              <w:t>29,64</w:t>
            </w:r>
          </w:p>
        </w:tc>
      </w:tr>
      <w:tr w:rsidR="00187104" w:rsidRPr="00DB4F05" w14:paraId="192E5A9E" w14:textId="77777777" w:rsidTr="00F8383B">
        <w:trPr>
          <w:trHeight w:val="320"/>
        </w:trPr>
        <w:tc>
          <w:tcPr>
            <w:tcW w:w="725" w:type="pct"/>
            <w:shd w:val="clear" w:color="auto" w:fill="auto"/>
            <w:noWrap/>
            <w:vAlign w:val="bottom"/>
            <w:hideMark/>
          </w:tcPr>
          <w:p w14:paraId="1245F711" w14:textId="77777777" w:rsidR="00D02051" w:rsidRPr="00DB4F05" w:rsidRDefault="00D02051" w:rsidP="0033261E">
            <w:pPr>
              <w:spacing w:line="240" w:lineRule="auto"/>
            </w:pPr>
            <w:r w:rsidRPr="00DB4F05">
              <w:t>8708</w:t>
            </w:r>
          </w:p>
        </w:tc>
        <w:tc>
          <w:tcPr>
            <w:tcW w:w="2681" w:type="pct"/>
            <w:shd w:val="clear" w:color="auto" w:fill="auto"/>
            <w:noWrap/>
            <w:vAlign w:val="bottom"/>
            <w:hideMark/>
          </w:tcPr>
          <w:p w14:paraId="2123F555" w14:textId="77777777" w:rsidR="00D02051" w:rsidRPr="00DB4F05" w:rsidRDefault="00D02051" w:rsidP="0033261E">
            <w:pPr>
              <w:spacing w:line="240" w:lineRule="auto"/>
            </w:pPr>
            <w:r w:rsidRPr="00DB4F05">
              <w:t>Partes e acessórios dos veículos automóveis das posições 8701 a 8705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7B879385" w14:textId="7756E298" w:rsidR="00D02051" w:rsidRPr="00DB4F05" w:rsidRDefault="00D02051" w:rsidP="0033261E">
            <w:pPr>
              <w:spacing w:line="240" w:lineRule="auto"/>
            </w:pPr>
            <w:r w:rsidRPr="00DB4F05">
              <w:t>15,81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1B3346C3" w14:textId="77777777" w:rsidR="00D02051" w:rsidRPr="00DB4F05" w:rsidRDefault="00D02051" w:rsidP="0033261E">
            <w:pPr>
              <w:spacing w:line="240" w:lineRule="auto"/>
            </w:pPr>
            <w:r w:rsidRPr="00DB4F05">
              <w:t>1,19</w:t>
            </w:r>
          </w:p>
        </w:tc>
      </w:tr>
      <w:tr w:rsidR="00187104" w:rsidRPr="00DB4F05" w14:paraId="4D40199E" w14:textId="77777777" w:rsidTr="00F8383B">
        <w:trPr>
          <w:trHeight w:val="320"/>
        </w:trPr>
        <w:tc>
          <w:tcPr>
            <w:tcW w:w="725" w:type="pct"/>
            <w:shd w:val="clear" w:color="auto" w:fill="auto"/>
            <w:noWrap/>
            <w:vAlign w:val="bottom"/>
            <w:hideMark/>
          </w:tcPr>
          <w:p w14:paraId="22572695" w14:textId="77777777" w:rsidR="00D02051" w:rsidRPr="00DB4F05" w:rsidRDefault="00D02051" w:rsidP="0033261E">
            <w:pPr>
              <w:spacing w:line="240" w:lineRule="auto"/>
            </w:pPr>
            <w:r w:rsidRPr="00DB4F05">
              <w:t>2905</w:t>
            </w:r>
          </w:p>
        </w:tc>
        <w:tc>
          <w:tcPr>
            <w:tcW w:w="2681" w:type="pct"/>
            <w:shd w:val="clear" w:color="auto" w:fill="auto"/>
            <w:noWrap/>
            <w:vAlign w:val="bottom"/>
            <w:hideMark/>
          </w:tcPr>
          <w:p w14:paraId="046FEB0A" w14:textId="77777777" w:rsidR="00D02051" w:rsidRPr="00DB4F05" w:rsidRDefault="00D02051" w:rsidP="0033261E">
            <w:pPr>
              <w:spacing w:line="240" w:lineRule="auto"/>
            </w:pPr>
            <w:r w:rsidRPr="00DB4F05">
              <w:t>Álcoois acíclicos e seus derivados halogenados, sulfonados, nitrados ou nitrosados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549887FE" w14:textId="5076FFB0" w:rsidR="00D02051" w:rsidRPr="00DB4F05" w:rsidRDefault="00D02051" w:rsidP="0033261E">
            <w:pPr>
              <w:spacing w:line="240" w:lineRule="auto"/>
            </w:pPr>
            <w:r w:rsidRPr="00DB4F05">
              <w:t>9,52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7AA5FF4D" w14:textId="77777777" w:rsidR="00D02051" w:rsidRPr="00DB4F05" w:rsidRDefault="00D02051" w:rsidP="0033261E">
            <w:pPr>
              <w:spacing w:line="240" w:lineRule="auto"/>
            </w:pPr>
            <w:r w:rsidRPr="00DB4F05">
              <w:t>12,06</w:t>
            </w:r>
          </w:p>
        </w:tc>
      </w:tr>
      <w:tr w:rsidR="00187104" w:rsidRPr="00DB4F05" w14:paraId="61884BD2" w14:textId="77777777" w:rsidTr="00F8383B">
        <w:trPr>
          <w:trHeight w:val="320"/>
        </w:trPr>
        <w:tc>
          <w:tcPr>
            <w:tcW w:w="725" w:type="pct"/>
            <w:shd w:val="clear" w:color="auto" w:fill="auto"/>
            <w:noWrap/>
            <w:vAlign w:val="bottom"/>
            <w:hideMark/>
          </w:tcPr>
          <w:p w14:paraId="2F23AAED" w14:textId="77777777" w:rsidR="00D02051" w:rsidRPr="00DB4F05" w:rsidRDefault="00D02051" w:rsidP="0033261E">
            <w:pPr>
              <w:spacing w:line="240" w:lineRule="auto"/>
            </w:pPr>
            <w:r w:rsidRPr="00DB4F05">
              <w:t>2941</w:t>
            </w:r>
          </w:p>
        </w:tc>
        <w:tc>
          <w:tcPr>
            <w:tcW w:w="2681" w:type="pct"/>
            <w:shd w:val="clear" w:color="auto" w:fill="auto"/>
            <w:noWrap/>
            <w:vAlign w:val="bottom"/>
            <w:hideMark/>
          </w:tcPr>
          <w:p w14:paraId="0661087D" w14:textId="77777777" w:rsidR="00D02051" w:rsidRPr="00DB4F05" w:rsidRDefault="00D02051" w:rsidP="0033261E">
            <w:pPr>
              <w:spacing w:line="240" w:lineRule="auto"/>
            </w:pPr>
            <w:r w:rsidRPr="00DB4F05">
              <w:t>Antibióticos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538F5456" w14:textId="7D0E9B8C" w:rsidR="00D02051" w:rsidRPr="00DB4F05" w:rsidRDefault="00D02051" w:rsidP="0033261E">
            <w:pPr>
              <w:spacing w:line="240" w:lineRule="auto"/>
            </w:pPr>
            <w:r w:rsidRPr="00DB4F05">
              <w:t>9,35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3CA35889" w14:textId="77777777" w:rsidR="00D02051" w:rsidRPr="00DB4F05" w:rsidRDefault="00D02051" w:rsidP="0033261E">
            <w:pPr>
              <w:spacing w:line="240" w:lineRule="auto"/>
            </w:pPr>
            <w:r w:rsidRPr="00DB4F05">
              <w:t>15,01</w:t>
            </w:r>
          </w:p>
        </w:tc>
      </w:tr>
      <w:tr w:rsidR="00187104" w:rsidRPr="00DB4F05" w14:paraId="44ED63A4" w14:textId="77777777" w:rsidTr="00F8383B">
        <w:trPr>
          <w:trHeight w:val="320"/>
        </w:trPr>
        <w:tc>
          <w:tcPr>
            <w:tcW w:w="725" w:type="pct"/>
            <w:shd w:val="clear" w:color="auto" w:fill="auto"/>
            <w:noWrap/>
            <w:vAlign w:val="bottom"/>
            <w:hideMark/>
          </w:tcPr>
          <w:p w14:paraId="44D19F24" w14:textId="77777777" w:rsidR="00D02051" w:rsidRPr="00DB4F05" w:rsidRDefault="00D02051" w:rsidP="0033261E">
            <w:pPr>
              <w:spacing w:line="240" w:lineRule="auto"/>
            </w:pPr>
            <w:r w:rsidRPr="00DB4F05">
              <w:t>1108</w:t>
            </w:r>
          </w:p>
        </w:tc>
        <w:tc>
          <w:tcPr>
            <w:tcW w:w="2681" w:type="pct"/>
            <w:shd w:val="clear" w:color="auto" w:fill="auto"/>
            <w:noWrap/>
            <w:vAlign w:val="bottom"/>
            <w:hideMark/>
          </w:tcPr>
          <w:p w14:paraId="38D2F87A" w14:textId="77777777" w:rsidR="00D02051" w:rsidRPr="00DB4F05" w:rsidRDefault="00D02051" w:rsidP="0033261E">
            <w:pPr>
              <w:spacing w:line="240" w:lineRule="auto"/>
            </w:pPr>
            <w:r w:rsidRPr="00DB4F05">
              <w:t>Amidos e féculas; inulina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10933657" w14:textId="231D8457" w:rsidR="00D02051" w:rsidRPr="00DB4F05" w:rsidRDefault="00D02051" w:rsidP="0033261E">
            <w:pPr>
              <w:spacing w:line="240" w:lineRule="auto"/>
            </w:pPr>
            <w:r w:rsidRPr="00DB4F05">
              <w:t>9,02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7A986F29" w14:textId="77777777" w:rsidR="00D02051" w:rsidRPr="00DB4F05" w:rsidRDefault="00D02051" w:rsidP="0033261E">
            <w:pPr>
              <w:spacing w:line="240" w:lineRule="auto"/>
            </w:pPr>
            <w:r w:rsidRPr="00DB4F05">
              <w:t>41,07</w:t>
            </w:r>
          </w:p>
        </w:tc>
      </w:tr>
      <w:tr w:rsidR="00187104" w:rsidRPr="00DB4F05" w14:paraId="6398D56D" w14:textId="77777777" w:rsidTr="00F8383B">
        <w:trPr>
          <w:trHeight w:val="320"/>
        </w:trPr>
        <w:tc>
          <w:tcPr>
            <w:tcW w:w="725" w:type="pct"/>
            <w:shd w:val="clear" w:color="auto" w:fill="auto"/>
            <w:noWrap/>
            <w:vAlign w:val="bottom"/>
            <w:hideMark/>
          </w:tcPr>
          <w:p w14:paraId="62146C35" w14:textId="77777777" w:rsidR="00D02051" w:rsidRPr="00DB4F05" w:rsidRDefault="00D02051" w:rsidP="0033261E">
            <w:pPr>
              <w:spacing w:line="240" w:lineRule="auto"/>
            </w:pPr>
            <w:r w:rsidRPr="00DB4F05">
              <w:t>2917</w:t>
            </w:r>
          </w:p>
        </w:tc>
        <w:tc>
          <w:tcPr>
            <w:tcW w:w="2681" w:type="pct"/>
            <w:shd w:val="clear" w:color="auto" w:fill="auto"/>
            <w:noWrap/>
            <w:vAlign w:val="bottom"/>
            <w:hideMark/>
          </w:tcPr>
          <w:p w14:paraId="44882118" w14:textId="77777777" w:rsidR="00D02051" w:rsidRPr="00DB4F05" w:rsidRDefault="00D02051" w:rsidP="0033261E">
            <w:pPr>
              <w:spacing w:line="240" w:lineRule="auto"/>
            </w:pPr>
            <w:r w:rsidRPr="00DB4F05">
              <w:t>Ácidos policarboxílicos, seus anidridos, halogenetos, peróxidos e peroxiácidos; seus derivados halogenados, sulfonados, nitrados ou nitrosados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356A6884" w14:textId="16864DA7" w:rsidR="00D02051" w:rsidRPr="00DB4F05" w:rsidRDefault="00D02051" w:rsidP="0033261E">
            <w:pPr>
              <w:spacing w:line="240" w:lineRule="auto"/>
              <w:rPr>
                <w:lang w:val="pt-BR"/>
              </w:rPr>
            </w:pPr>
            <w:r w:rsidRPr="00DB4F05">
              <w:t>7,6</w:t>
            </w:r>
            <w:r w:rsidR="00F8383B" w:rsidRPr="00DB4F05">
              <w:rPr>
                <w:lang w:val="pt-BR"/>
              </w:rPr>
              <w:t>8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4E385EC7" w14:textId="77777777" w:rsidR="00D02051" w:rsidRPr="00DB4F05" w:rsidRDefault="00D02051" w:rsidP="0033261E">
            <w:pPr>
              <w:spacing w:line="240" w:lineRule="auto"/>
            </w:pPr>
            <w:r w:rsidRPr="00DB4F05">
              <w:t>49,79</w:t>
            </w:r>
          </w:p>
        </w:tc>
      </w:tr>
      <w:tr w:rsidR="00DB4F05" w:rsidRPr="00DB4F05" w14:paraId="5714DEA0" w14:textId="77777777" w:rsidTr="00F8383B">
        <w:trPr>
          <w:trHeight w:val="320"/>
        </w:trPr>
        <w:tc>
          <w:tcPr>
            <w:tcW w:w="725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536F1C5" w14:textId="22679734" w:rsidR="00C91F08" w:rsidRPr="00DB4F05" w:rsidRDefault="00C91F08" w:rsidP="0033261E">
            <w:pPr>
              <w:spacing w:line="240" w:lineRule="auto"/>
              <w:rPr>
                <w:lang w:val="pt-BR"/>
              </w:rPr>
            </w:pPr>
          </w:p>
        </w:tc>
        <w:tc>
          <w:tcPr>
            <w:tcW w:w="2681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17A3" w14:textId="0B8E7309" w:rsidR="00C91F08" w:rsidRPr="00DB4F05" w:rsidRDefault="00C91F08" w:rsidP="0033261E">
            <w:pPr>
              <w:spacing w:line="240" w:lineRule="auto"/>
            </w:pPr>
            <w:r w:rsidRPr="00DB4F05">
              <w:rPr>
                <w:lang w:val="pt-BR"/>
              </w:rPr>
              <w:t xml:space="preserve">Demais Produtos </w:t>
            </w:r>
          </w:p>
        </w:tc>
        <w:tc>
          <w:tcPr>
            <w:tcW w:w="797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B8D5" w14:textId="4F5F06A3" w:rsidR="00C91F08" w:rsidRPr="00DB4F05" w:rsidRDefault="00CB429D" w:rsidP="0033261E">
            <w:pPr>
              <w:spacing w:line="240" w:lineRule="auto"/>
              <w:rPr>
                <w:lang w:val="pt-BR"/>
              </w:rPr>
            </w:pPr>
            <w:r w:rsidRPr="00DB4F05">
              <w:rPr>
                <w:lang w:val="pt-BR"/>
              </w:rPr>
              <w:t>183,40</w:t>
            </w:r>
          </w:p>
        </w:tc>
        <w:tc>
          <w:tcPr>
            <w:tcW w:w="797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9D72" w14:textId="5570219B" w:rsidR="00C91F08" w:rsidRPr="00DB4F05" w:rsidRDefault="00C91F08" w:rsidP="0033261E">
            <w:pPr>
              <w:spacing w:line="240" w:lineRule="auto"/>
            </w:pPr>
          </w:p>
        </w:tc>
      </w:tr>
      <w:tr w:rsidR="00187104" w:rsidRPr="00DB4F05" w14:paraId="66A6232D" w14:textId="77777777" w:rsidTr="00F8383B">
        <w:trPr>
          <w:trHeight w:val="320"/>
        </w:trPr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9383" w14:textId="72DFCF3F" w:rsidR="00C91F08" w:rsidRPr="00DB4F05" w:rsidRDefault="00C91F08" w:rsidP="0033261E">
            <w:pPr>
              <w:spacing w:line="240" w:lineRule="auto"/>
            </w:pPr>
          </w:p>
        </w:tc>
        <w:tc>
          <w:tcPr>
            <w:tcW w:w="26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FE4D" w14:textId="0642BBFD" w:rsidR="00C91F08" w:rsidRPr="00DB4F05" w:rsidRDefault="00CB429D" w:rsidP="0033261E">
            <w:pPr>
              <w:spacing w:line="240" w:lineRule="auto"/>
              <w:rPr>
                <w:lang w:val="pt-BR"/>
              </w:rPr>
            </w:pPr>
            <w:r w:rsidRPr="00DB4F05">
              <w:rPr>
                <w:lang w:val="pt-BR"/>
              </w:rPr>
              <w:t xml:space="preserve">Total 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B786" w14:textId="3C48F1C7" w:rsidR="00C91F08" w:rsidRPr="00DB4F05" w:rsidRDefault="00CB429D" w:rsidP="0033261E">
            <w:pPr>
              <w:spacing w:line="240" w:lineRule="auto"/>
              <w:rPr>
                <w:lang w:val="pt-BR"/>
              </w:rPr>
            </w:pPr>
            <w:r w:rsidRPr="00DB4F05">
              <w:rPr>
                <w:lang w:val="pt-BR"/>
              </w:rPr>
              <w:t>493,93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6A92" w14:textId="49C607A2" w:rsidR="00C91F08" w:rsidRPr="00DB4F05" w:rsidRDefault="00C91F08" w:rsidP="0033261E">
            <w:pPr>
              <w:spacing w:line="240" w:lineRule="auto"/>
            </w:pPr>
          </w:p>
        </w:tc>
      </w:tr>
    </w:tbl>
    <w:p w14:paraId="35FCB9AE" w14:textId="77777777" w:rsidR="0033261E" w:rsidRPr="0033261E" w:rsidRDefault="0033261E" w:rsidP="0033261E">
      <w:pPr>
        <w:pStyle w:val="Textodenotaderodap"/>
        <w:rPr>
          <w:rStyle w:val="nfaseSutil"/>
          <w:rFonts w:ascii="Times" w:hAnsi="Times"/>
          <w:i w:val="0"/>
          <w:iCs w:val="0"/>
          <w:color w:val="000000" w:themeColor="text1"/>
        </w:rPr>
      </w:pPr>
      <w:r w:rsidRPr="0033261E">
        <w:rPr>
          <w:rStyle w:val="nfaseSutil"/>
          <w:rFonts w:ascii="Times" w:hAnsi="Times"/>
          <w:i w:val="0"/>
          <w:iCs w:val="0"/>
          <w:color w:val="000000" w:themeColor="text1"/>
        </w:rPr>
        <w:t xml:space="preserve">Fonte: Elaboração própria partir de dados da Secretaria de Comércio Exterior (SECEX) e Observatório de Complexidade Econômica (OCE). </w:t>
      </w:r>
    </w:p>
    <w:p w14:paraId="23C674ED" w14:textId="117E357E" w:rsidR="00086018" w:rsidRPr="00B41427" w:rsidRDefault="00086018" w:rsidP="00E20427">
      <w:r w:rsidRPr="00DB4F05">
        <w:t>O destaque</w:t>
      </w:r>
      <w:r w:rsidR="00704755">
        <w:rPr>
          <w:lang w:val="pt-BR"/>
        </w:rPr>
        <w:t xml:space="preserve">, com base na magnitude do valor exportado, </w:t>
      </w:r>
      <w:r w:rsidRPr="00DB4F05">
        <w:t xml:space="preserve">é o grupo das preparações de carne (1602), com 115,09 milhões de dólares, seguido pelos medicamentos (3004), com 52,10 milhões de dólares. Ainda mais preocupante, entretanto, é o fato de que alguns desses grupos </w:t>
      </w:r>
      <w:r w:rsidR="001E0000">
        <w:rPr>
          <w:lang w:val="pt-BR"/>
        </w:rPr>
        <w:t xml:space="preserve">são altamente especializados nas exportações para os </w:t>
      </w:r>
      <w:r w:rsidRPr="00DB4F05">
        <w:t xml:space="preserve">Estados Unidos, como as partes de máquinas (8503), com </w:t>
      </w:r>
      <w:r w:rsidRPr="00DB4F05">
        <w:lastRenderedPageBreak/>
        <w:t>40,32% do total exportado para</w:t>
      </w:r>
      <w:r w:rsidR="00237933">
        <w:rPr>
          <w:lang w:val="pt-BR"/>
        </w:rPr>
        <w:t xml:space="preserve"> o país</w:t>
      </w:r>
      <w:r w:rsidRPr="00DB4F05">
        <w:t>, as barras de aço (7228), com 29,64%, os amidos e féculas (1108), com 41,07%, e os ácidos policarboxílicos (2917), com 49,79%.</w:t>
      </w:r>
    </w:p>
    <w:p w14:paraId="26E08EF0" w14:textId="4B3B9EE6" w:rsidR="00EA08DC" w:rsidRPr="00DB4F05" w:rsidRDefault="00EA08DC" w:rsidP="00E20427">
      <w:pPr>
        <w:rPr>
          <w:lang w:val="pt-BR"/>
        </w:rPr>
      </w:pPr>
      <w:r w:rsidRPr="00DB4F05">
        <w:rPr>
          <w:lang w:val="pt-BR"/>
        </w:rPr>
        <w:t xml:space="preserve">Por fim, </w:t>
      </w:r>
      <w:r w:rsidR="000E24EB">
        <w:rPr>
          <w:lang w:val="pt-BR"/>
        </w:rPr>
        <w:t>da perspectiva da especialização em mercados norte-americanos</w:t>
      </w:r>
      <w:r w:rsidR="004F4B64" w:rsidRPr="00DB4F05">
        <w:t xml:space="preserve">, há setores que apresentam elevada </w:t>
      </w:r>
      <w:r w:rsidR="000E24EB">
        <w:rPr>
          <w:lang w:val="pt-BR"/>
        </w:rPr>
        <w:t>especialização</w:t>
      </w:r>
      <w:r w:rsidR="004F4B64" w:rsidRPr="00DB4F05">
        <w:t xml:space="preserve"> e, por isso, se mostram altamente </w:t>
      </w:r>
      <w:r w:rsidR="00C938C9">
        <w:rPr>
          <w:lang w:val="pt-BR"/>
        </w:rPr>
        <w:t>expostos as tarifas</w:t>
      </w:r>
      <w:r w:rsidR="004F4B64" w:rsidRPr="00DB4F05">
        <w:t xml:space="preserve">. A Tabela 4, derivada da anterior, reúne os casos de maior especialização, definidos como aqueles em que mais de 35% das exportações foram destinadas aos Estados Unidos e que </w:t>
      </w:r>
      <w:r w:rsidR="00A7308F">
        <w:rPr>
          <w:lang w:val="pt-BR"/>
        </w:rPr>
        <w:t>exportaram</w:t>
      </w:r>
      <w:r w:rsidR="004F4B64" w:rsidRPr="00DB4F05">
        <w:t xml:space="preserve"> pelo menos um milhão de dólares no período</w:t>
      </w:r>
      <w:r w:rsidR="00A7308F">
        <w:rPr>
          <w:lang w:val="pt-BR"/>
        </w:rPr>
        <w:t xml:space="preserve"> de 12 meses</w:t>
      </w:r>
      <w:r w:rsidR="004F4B64" w:rsidRPr="00DB4F05">
        <w:t xml:space="preserve">. </w:t>
      </w:r>
      <w:r w:rsidR="00B54793">
        <w:rPr>
          <w:lang w:val="pt-BR"/>
        </w:rPr>
        <w:t>Os produtos selecionados representaram</w:t>
      </w:r>
      <w:r w:rsidR="004F4B64" w:rsidRPr="00DB4F05">
        <w:t xml:space="preserve"> 7,87% das exportações totais da região para os Estados Unidos</w:t>
      </w:r>
      <w:r w:rsidR="00B54793">
        <w:rPr>
          <w:lang w:val="pt-BR"/>
        </w:rPr>
        <w:t xml:space="preserve">. </w:t>
      </w:r>
      <w:r w:rsidR="004F4B64" w:rsidRPr="00DB4F05">
        <w:t xml:space="preserve"> </w:t>
      </w:r>
    </w:p>
    <w:p w14:paraId="63091C8C" w14:textId="2B92629C" w:rsidR="00615BDF" w:rsidRPr="00DB4F05" w:rsidRDefault="00615BDF" w:rsidP="00B41427">
      <w:pPr>
        <w:jc w:val="center"/>
        <w:rPr>
          <w:lang w:val="pt-BR"/>
        </w:rPr>
      </w:pPr>
      <w:r w:rsidRPr="00DB4F05">
        <w:rPr>
          <w:b/>
          <w:bCs/>
          <w:lang w:val="pt-BR"/>
        </w:rPr>
        <w:t>Tabela 3</w:t>
      </w:r>
      <w:r w:rsidRPr="00DB4F05">
        <w:rPr>
          <w:lang w:val="pt-BR"/>
        </w:rPr>
        <w:t xml:space="preserve"> – Principais grupos sem isenções e com alta </w:t>
      </w:r>
      <w:r w:rsidR="00885D97" w:rsidRPr="00DB4F05">
        <w:rPr>
          <w:lang w:val="pt-BR"/>
        </w:rPr>
        <w:t>especialização no</w:t>
      </w:r>
      <w:r w:rsidR="00220432">
        <w:rPr>
          <w:lang w:val="pt-BR"/>
        </w:rPr>
        <w:t>s</w:t>
      </w:r>
      <w:r w:rsidR="00885D97" w:rsidRPr="00DB4F05">
        <w:rPr>
          <w:lang w:val="pt-BR"/>
        </w:rPr>
        <w:t xml:space="preserve"> mercados </w:t>
      </w:r>
      <w:r w:rsidR="005832B7">
        <w:rPr>
          <w:lang w:val="pt-BR"/>
        </w:rPr>
        <w:t>estado-unidenses</w:t>
      </w:r>
      <w:r w:rsidR="00220432">
        <w:rPr>
          <w:lang w:val="pt-BR"/>
        </w:rPr>
        <w:t xml:space="preserve"> </w:t>
      </w:r>
      <w:r w:rsidRPr="00DB4F05">
        <w:rPr>
          <w:lang w:val="pt-BR"/>
        </w:rPr>
        <w:t>(12 meses, agosto/24 a julho/25)</w:t>
      </w:r>
    </w:p>
    <w:tbl>
      <w:tblPr>
        <w:tblW w:w="0" w:type="auto"/>
        <w:tblBorders>
          <w:top w:val="single" w:sz="8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1"/>
        <w:gridCol w:w="4863"/>
        <w:gridCol w:w="1843"/>
        <w:gridCol w:w="1563"/>
      </w:tblGrid>
      <w:tr w:rsidR="00FD7B1F" w:rsidRPr="00DB4F05" w14:paraId="06B6A854" w14:textId="77777777" w:rsidTr="00EC1C96">
        <w:trPr>
          <w:trHeight w:val="340"/>
        </w:trPr>
        <w:tc>
          <w:tcPr>
            <w:tcW w:w="1091" w:type="dxa"/>
            <w:shd w:val="clear" w:color="auto" w:fill="auto"/>
            <w:noWrap/>
            <w:vAlign w:val="center"/>
            <w:hideMark/>
          </w:tcPr>
          <w:p w14:paraId="1F612340" w14:textId="77777777" w:rsidR="00FD7B1F" w:rsidRPr="0033261E" w:rsidRDefault="00FD7B1F" w:rsidP="0033261E">
            <w:pPr>
              <w:spacing w:line="240" w:lineRule="auto"/>
              <w:rPr>
                <w:b/>
                <w:bCs/>
              </w:rPr>
            </w:pPr>
            <w:r w:rsidRPr="0033261E">
              <w:rPr>
                <w:b/>
                <w:bCs/>
              </w:rPr>
              <w:t>NCM – 4 dígitos</w:t>
            </w:r>
          </w:p>
        </w:tc>
        <w:tc>
          <w:tcPr>
            <w:tcW w:w="4863" w:type="dxa"/>
            <w:shd w:val="clear" w:color="auto" w:fill="auto"/>
            <w:noWrap/>
            <w:vAlign w:val="center"/>
            <w:hideMark/>
          </w:tcPr>
          <w:p w14:paraId="6C9220E5" w14:textId="77777777" w:rsidR="00FD7B1F" w:rsidRPr="0033261E" w:rsidRDefault="00FD7B1F" w:rsidP="0033261E">
            <w:pPr>
              <w:spacing w:line="240" w:lineRule="auto"/>
              <w:rPr>
                <w:b/>
                <w:bCs/>
              </w:rPr>
            </w:pPr>
            <w:r w:rsidRPr="0033261E">
              <w:rPr>
                <w:b/>
                <w:bCs/>
              </w:rPr>
              <w:t>Descricao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D04D871" w14:textId="77777777" w:rsidR="00FD7B1F" w:rsidRPr="0033261E" w:rsidRDefault="00FD7B1F" w:rsidP="0033261E">
            <w:pPr>
              <w:spacing w:line="240" w:lineRule="auto"/>
              <w:rPr>
                <w:b/>
                <w:bCs/>
              </w:rPr>
            </w:pPr>
            <w:r w:rsidRPr="0033261E">
              <w:rPr>
                <w:b/>
                <w:bCs/>
              </w:rPr>
              <w:t>Valor Exportado (Milhões de Dólares)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7DF04C93" w14:textId="77777777" w:rsidR="00FD7B1F" w:rsidRPr="0033261E" w:rsidRDefault="00FD7B1F" w:rsidP="0033261E">
            <w:pPr>
              <w:spacing w:line="240" w:lineRule="auto"/>
              <w:rPr>
                <w:b/>
                <w:bCs/>
              </w:rPr>
            </w:pPr>
            <w:r w:rsidRPr="0033261E">
              <w:rPr>
                <w:b/>
                <w:bCs/>
              </w:rPr>
              <w:t>% das Exportações totais</w:t>
            </w:r>
          </w:p>
        </w:tc>
      </w:tr>
      <w:tr w:rsidR="00FD7B1F" w:rsidRPr="00DB4F05" w14:paraId="215D6559" w14:textId="77777777" w:rsidTr="00EC1C96">
        <w:trPr>
          <w:trHeight w:val="320"/>
        </w:trPr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28645AFC" w14:textId="77777777" w:rsidR="00FD7B1F" w:rsidRPr="00DB4F05" w:rsidRDefault="00FD7B1F" w:rsidP="0033261E">
            <w:pPr>
              <w:spacing w:line="240" w:lineRule="auto"/>
            </w:pPr>
            <w:r w:rsidRPr="00DB4F05">
              <w:t>7218</w:t>
            </w:r>
          </w:p>
        </w:tc>
        <w:tc>
          <w:tcPr>
            <w:tcW w:w="4863" w:type="dxa"/>
            <w:shd w:val="clear" w:color="auto" w:fill="auto"/>
            <w:noWrap/>
            <w:vAlign w:val="bottom"/>
            <w:hideMark/>
          </w:tcPr>
          <w:p w14:paraId="2D033F6D" w14:textId="77777777" w:rsidR="00FD7B1F" w:rsidRPr="00DB4F05" w:rsidRDefault="00FD7B1F" w:rsidP="0033261E">
            <w:pPr>
              <w:spacing w:line="240" w:lineRule="auto"/>
            </w:pPr>
            <w:r w:rsidRPr="00DB4F05">
              <w:t>Aço inoxidável, em lingotes ou outras formas primárias; produtos semimanufacturados de aço inoxidável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0A5162E" w14:textId="77555573" w:rsidR="00FD7B1F" w:rsidRPr="00DB4F05" w:rsidRDefault="00FD7B1F" w:rsidP="0033261E">
            <w:pPr>
              <w:spacing w:line="240" w:lineRule="auto"/>
            </w:pPr>
            <w:r w:rsidRPr="00DB4F05">
              <w:t>1,38</w:t>
            </w:r>
          </w:p>
        </w:tc>
        <w:tc>
          <w:tcPr>
            <w:tcW w:w="1563" w:type="dxa"/>
            <w:shd w:val="clear" w:color="auto" w:fill="auto"/>
            <w:noWrap/>
            <w:vAlign w:val="bottom"/>
            <w:hideMark/>
          </w:tcPr>
          <w:p w14:paraId="0850DDE6" w14:textId="77777777" w:rsidR="00FD7B1F" w:rsidRPr="00DB4F05" w:rsidRDefault="00FD7B1F" w:rsidP="0033261E">
            <w:pPr>
              <w:spacing w:line="240" w:lineRule="auto"/>
            </w:pPr>
            <w:r w:rsidRPr="00DB4F05">
              <w:t>71,02</w:t>
            </w:r>
          </w:p>
        </w:tc>
      </w:tr>
      <w:tr w:rsidR="00FD7B1F" w:rsidRPr="00DB4F05" w14:paraId="593B06D2" w14:textId="77777777" w:rsidTr="00EC1C96">
        <w:trPr>
          <w:trHeight w:val="320"/>
        </w:trPr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1705C1EE" w14:textId="77777777" w:rsidR="00FD7B1F" w:rsidRPr="00DB4F05" w:rsidRDefault="00FD7B1F" w:rsidP="0033261E">
            <w:pPr>
              <w:spacing w:line="240" w:lineRule="auto"/>
            </w:pPr>
            <w:r w:rsidRPr="00DB4F05">
              <w:t>2917</w:t>
            </w:r>
          </w:p>
        </w:tc>
        <w:tc>
          <w:tcPr>
            <w:tcW w:w="4863" w:type="dxa"/>
            <w:shd w:val="clear" w:color="auto" w:fill="auto"/>
            <w:noWrap/>
            <w:vAlign w:val="bottom"/>
            <w:hideMark/>
          </w:tcPr>
          <w:p w14:paraId="52ED7C96" w14:textId="77777777" w:rsidR="00FD7B1F" w:rsidRPr="00DB4F05" w:rsidRDefault="00FD7B1F" w:rsidP="0033261E">
            <w:pPr>
              <w:spacing w:line="240" w:lineRule="auto"/>
            </w:pPr>
            <w:r w:rsidRPr="00DB4F05">
              <w:t>Ácidos policarboxílicos, seus anidridos, halogenetos, peróxidos e peroxiácidos; seus derivados halogenados, sulfonados, nitrados ou nitrosados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BD15803" w14:textId="739F463E" w:rsidR="00FD7B1F" w:rsidRPr="00DB4F05" w:rsidRDefault="00FD7B1F" w:rsidP="0033261E">
            <w:pPr>
              <w:spacing w:line="240" w:lineRule="auto"/>
            </w:pPr>
            <w:r w:rsidRPr="00DB4F05">
              <w:t>7,68</w:t>
            </w:r>
          </w:p>
        </w:tc>
        <w:tc>
          <w:tcPr>
            <w:tcW w:w="1563" w:type="dxa"/>
            <w:shd w:val="clear" w:color="auto" w:fill="auto"/>
            <w:noWrap/>
            <w:vAlign w:val="bottom"/>
            <w:hideMark/>
          </w:tcPr>
          <w:p w14:paraId="292A5CE8" w14:textId="77777777" w:rsidR="00FD7B1F" w:rsidRPr="00DB4F05" w:rsidRDefault="00FD7B1F" w:rsidP="0033261E">
            <w:pPr>
              <w:spacing w:line="240" w:lineRule="auto"/>
            </w:pPr>
            <w:r w:rsidRPr="00DB4F05">
              <w:t>49,79</w:t>
            </w:r>
          </w:p>
        </w:tc>
      </w:tr>
      <w:tr w:rsidR="00FD7B1F" w:rsidRPr="00DB4F05" w14:paraId="22F197E6" w14:textId="77777777" w:rsidTr="00EC1C96">
        <w:trPr>
          <w:trHeight w:val="320"/>
        </w:trPr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48819EA0" w14:textId="77777777" w:rsidR="00FD7B1F" w:rsidRPr="00DB4F05" w:rsidRDefault="00FD7B1F" w:rsidP="0033261E">
            <w:pPr>
              <w:spacing w:line="240" w:lineRule="auto"/>
            </w:pPr>
            <w:r w:rsidRPr="00DB4F05">
              <w:t>8441</w:t>
            </w:r>
          </w:p>
        </w:tc>
        <w:tc>
          <w:tcPr>
            <w:tcW w:w="4863" w:type="dxa"/>
            <w:shd w:val="clear" w:color="auto" w:fill="auto"/>
            <w:noWrap/>
            <w:vAlign w:val="bottom"/>
            <w:hideMark/>
          </w:tcPr>
          <w:p w14:paraId="2FAF2F07" w14:textId="77777777" w:rsidR="00FD7B1F" w:rsidRPr="00DB4F05" w:rsidRDefault="00FD7B1F" w:rsidP="0033261E">
            <w:pPr>
              <w:spacing w:line="240" w:lineRule="auto"/>
            </w:pPr>
            <w:r w:rsidRPr="00DB4F05">
              <w:t>Outras máquinas e aparelhos, para o trabalho da pasta de papel, do papel ou do cartão, incluídas as cortadeiras de todos os tipos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EABDD48" w14:textId="7B51D827" w:rsidR="00FD7B1F" w:rsidRPr="00DB4F05" w:rsidRDefault="00FD7B1F" w:rsidP="0033261E">
            <w:pPr>
              <w:spacing w:line="240" w:lineRule="auto"/>
            </w:pPr>
            <w:r w:rsidRPr="00DB4F05">
              <w:t>6,84</w:t>
            </w:r>
          </w:p>
        </w:tc>
        <w:tc>
          <w:tcPr>
            <w:tcW w:w="1563" w:type="dxa"/>
            <w:shd w:val="clear" w:color="auto" w:fill="auto"/>
            <w:noWrap/>
            <w:vAlign w:val="bottom"/>
            <w:hideMark/>
          </w:tcPr>
          <w:p w14:paraId="525506C5" w14:textId="77777777" w:rsidR="00FD7B1F" w:rsidRPr="00DB4F05" w:rsidRDefault="00FD7B1F" w:rsidP="0033261E">
            <w:pPr>
              <w:spacing w:line="240" w:lineRule="auto"/>
            </w:pPr>
            <w:r w:rsidRPr="00DB4F05">
              <w:t>48,06</w:t>
            </w:r>
          </w:p>
        </w:tc>
      </w:tr>
      <w:tr w:rsidR="00FD7B1F" w:rsidRPr="00DB4F05" w14:paraId="3770D543" w14:textId="77777777" w:rsidTr="00EC1C96">
        <w:trPr>
          <w:trHeight w:val="320"/>
        </w:trPr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295D0E59" w14:textId="77777777" w:rsidR="00FD7B1F" w:rsidRPr="00DB4F05" w:rsidRDefault="00FD7B1F" w:rsidP="0033261E">
            <w:pPr>
              <w:spacing w:line="240" w:lineRule="auto"/>
            </w:pPr>
            <w:r w:rsidRPr="00DB4F05">
              <w:t>1505</w:t>
            </w:r>
          </w:p>
        </w:tc>
        <w:tc>
          <w:tcPr>
            <w:tcW w:w="4863" w:type="dxa"/>
            <w:shd w:val="clear" w:color="auto" w:fill="auto"/>
            <w:noWrap/>
            <w:vAlign w:val="bottom"/>
            <w:hideMark/>
          </w:tcPr>
          <w:p w14:paraId="71FC4438" w14:textId="77777777" w:rsidR="00FD7B1F" w:rsidRPr="00DB4F05" w:rsidRDefault="00FD7B1F" w:rsidP="0033261E">
            <w:pPr>
              <w:spacing w:line="240" w:lineRule="auto"/>
            </w:pPr>
            <w:r w:rsidRPr="00DB4F05">
              <w:t>Suarda e substâncias gordas dela derivadas, incluindo a lanolina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5D21B04" w14:textId="3C866920" w:rsidR="00FD7B1F" w:rsidRPr="00DB4F05" w:rsidRDefault="00FD7B1F" w:rsidP="0033261E">
            <w:pPr>
              <w:spacing w:line="240" w:lineRule="auto"/>
            </w:pPr>
            <w:r w:rsidRPr="00DB4F05">
              <w:t>2,29</w:t>
            </w:r>
          </w:p>
        </w:tc>
        <w:tc>
          <w:tcPr>
            <w:tcW w:w="1563" w:type="dxa"/>
            <w:shd w:val="clear" w:color="auto" w:fill="auto"/>
            <w:noWrap/>
            <w:vAlign w:val="bottom"/>
            <w:hideMark/>
          </w:tcPr>
          <w:p w14:paraId="18636044" w14:textId="77777777" w:rsidR="00FD7B1F" w:rsidRPr="00DB4F05" w:rsidRDefault="00FD7B1F" w:rsidP="0033261E">
            <w:pPr>
              <w:spacing w:line="240" w:lineRule="auto"/>
            </w:pPr>
            <w:r w:rsidRPr="00DB4F05">
              <w:t>46,68</w:t>
            </w:r>
          </w:p>
        </w:tc>
      </w:tr>
      <w:tr w:rsidR="00FD7B1F" w:rsidRPr="00DB4F05" w14:paraId="6F715C26" w14:textId="77777777" w:rsidTr="00EC1C96">
        <w:trPr>
          <w:trHeight w:val="320"/>
        </w:trPr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7EB24CE5" w14:textId="77777777" w:rsidR="00FD7B1F" w:rsidRPr="00DB4F05" w:rsidRDefault="00FD7B1F" w:rsidP="0033261E">
            <w:pPr>
              <w:spacing w:line="240" w:lineRule="auto"/>
            </w:pPr>
            <w:r w:rsidRPr="00DB4F05">
              <w:t>6815</w:t>
            </w:r>
          </w:p>
        </w:tc>
        <w:tc>
          <w:tcPr>
            <w:tcW w:w="4863" w:type="dxa"/>
            <w:shd w:val="clear" w:color="auto" w:fill="auto"/>
            <w:noWrap/>
            <w:vAlign w:val="bottom"/>
            <w:hideMark/>
          </w:tcPr>
          <w:p w14:paraId="193CDA11" w14:textId="77777777" w:rsidR="00FD7B1F" w:rsidRPr="00DB4F05" w:rsidRDefault="00FD7B1F" w:rsidP="0033261E">
            <w:pPr>
              <w:spacing w:line="240" w:lineRule="auto"/>
            </w:pPr>
            <w:r w:rsidRPr="00DB4F05">
              <w:t>Obras de pedra ou de outras matérias minerais (incluídas as fibras de carbono, as obras destas matérias ou de turfa), não especificadas nem compreendidas noutras posições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E866ECE" w14:textId="72B6EBF1" w:rsidR="00FD7B1F" w:rsidRPr="00DB4F05" w:rsidRDefault="00FD7B1F" w:rsidP="0033261E">
            <w:pPr>
              <w:spacing w:line="240" w:lineRule="auto"/>
            </w:pPr>
            <w:r w:rsidRPr="00DB4F05">
              <w:t>5,52</w:t>
            </w:r>
          </w:p>
        </w:tc>
        <w:tc>
          <w:tcPr>
            <w:tcW w:w="1563" w:type="dxa"/>
            <w:shd w:val="clear" w:color="auto" w:fill="auto"/>
            <w:noWrap/>
            <w:vAlign w:val="bottom"/>
            <w:hideMark/>
          </w:tcPr>
          <w:p w14:paraId="1655AA42" w14:textId="77777777" w:rsidR="00FD7B1F" w:rsidRPr="00DB4F05" w:rsidRDefault="00FD7B1F" w:rsidP="0033261E">
            <w:pPr>
              <w:spacing w:line="240" w:lineRule="auto"/>
            </w:pPr>
            <w:r w:rsidRPr="00DB4F05">
              <w:t>45,69</w:t>
            </w:r>
          </w:p>
        </w:tc>
      </w:tr>
      <w:tr w:rsidR="00FD7B1F" w:rsidRPr="00DB4F05" w14:paraId="2B156853" w14:textId="77777777" w:rsidTr="00EC1C96">
        <w:trPr>
          <w:trHeight w:val="320"/>
        </w:trPr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6AE90428" w14:textId="77777777" w:rsidR="00FD7B1F" w:rsidRPr="00DB4F05" w:rsidRDefault="00FD7B1F" w:rsidP="0033261E">
            <w:pPr>
              <w:spacing w:line="240" w:lineRule="auto"/>
            </w:pPr>
            <w:r w:rsidRPr="00DB4F05">
              <w:t>1108</w:t>
            </w:r>
          </w:p>
        </w:tc>
        <w:tc>
          <w:tcPr>
            <w:tcW w:w="4863" w:type="dxa"/>
            <w:shd w:val="clear" w:color="auto" w:fill="auto"/>
            <w:noWrap/>
            <w:vAlign w:val="bottom"/>
            <w:hideMark/>
          </w:tcPr>
          <w:p w14:paraId="0851512B" w14:textId="77777777" w:rsidR="00FD7B1F" w:rsidRPr="00DB4F05" w:rsidRDefault="00FD7B1F" w:rsidP="0033261E">
            <w:pPr>
              <w:spacing w:line="240" w:lineRule="auto"/>
            </w:pPr>
            <w:r w:rsidRPr="00DB4F05">
              <w:t>Amidos e féculas; inulina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2A3A1FC" w14:textId="40E8948A" w:rsidR="00FD7B1F" w:rsidRPr="00DB4F05" w:rsidRDefault="00FD7B1F" w:rsidP="0033261E">
            <w:pPr>
              <w:spacing w:line="240" w:lineRule="auto"/>
            </w:pPr>
            <w:r w:rsidRPr="00DB4F05">
              <w:t>9,02</w:t>
            </w:r>
          </w:p>
        </w:tc>
        <w:tc>
          <w:tcPr>
            <w:tcW w:w="1563" w:type="dxa"/>
            <w:shd w:val="clear" w:color="auto" w:fill="auto"/>
            <w:noWrap/>
            <w:vAlign w:val="bottom"/>
            <w:hideMark/>
          </w:tcPr>
          <w:p w14:paraId="4A89FF56" w14:textId="77777777" w:rsidR="00FD7B1F" w:rsidRPr="00DB4F05" w:rsidRDefault="00FD7B1F" w:rsidP="0033261E">
            <w:pPr>
              <w:spacing w:line="240" w:lineRule="auto"/>
            </w:pPr>
            <w:r w:rsidRPr="00DB4F05">
              <w:t>41,07</w:t>
            </w:r>
          </w:p>
        </w:tc>
      </w:tr>
      <w:tr w:rsidR="00FD7B1F" w:rsidRPr="00DB4F05" w14:paraId="20355DFE" w14:textId="77777777" w:rsidTr="00EC1C96">
        <w:trPr>
          <w:trHeight w:val="320"/>
        </w:trPr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6F500913" w14:textId="77777777" w:rsidR="00FD7B1F" w:rsidRPr="00DB4F05" w:rsidRDefault="00FD7B1F" w:rsidP="0033261E">
            <w:pPr>
              <w:spacing w:line="240" w:lineRule="auto"/>
            </w:pPr>
            <w:r w:rsidRPr="00DB4F05">
              <w:t>8503</w:t>
            </w:r>
          </w:p>
        </w:tc>
        <w:tc>
          <w:tcPr>
            <w:tcW w:w="4863" w:type="dxa"/>
            <w:shd w:val="clear" w:color="auto" w:fill="auto"/>
            <w:noWrap/>
            <w:vAlign w:val="bottom"/>
            <w:hideMark/>
          </w:tcPr>
          <w:p w14:paraId="6C78FE55" w14:textId="77777777" w:rsidR="00FD7B1F" w:rsidRPr="00DB4F05" w:rsidRDefault="00FD7B1F" w:rsidP="0033261E">
            <w:pPr>
              <w:spacing w:line="240" w:lineRule="auto"/>
            </w:pPr>
            <w:r w:rsidRPr="00DB4F05">
              <w:t>Partes reconhecíveis como destinadas às máquinas das posições 8501 ou 8502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8C1FA63" w14:textId="008728D5" w:rsidR="00FD7B1F" w:rsidRPr="00DB4F05" w:rsidRDefault="00FD7B1F" w:rsidP="0033261E">
            <w:pPr>
              <w:spacing w:line="240" w:lineRule="auto"/>
            </w:pPr>
            <w:r w:rsidRPr="00DB4F05">
              <w:t>24,28</w:t>
            </w:r>
          </w:p>
        </w:tc>
        <w:tc>
          <w:tcPr>
            <w:tcW w:w="1563" w:type="dxa"/>
            <w:shd w:val="clear" w:color="auto" w:fill="auto"/>
            <w:noWrap/>
            <w:vAlign w:val="bottom"/>
            <w:hideMark/>
          </w:tcPr>
          <w:p w14:paraId="44AF9D61" w14:textId="77777777" w:rsidR="00FD7B1F" w:rsidRPr="00DB4F05" w:rsidRDefault="00FD7B1F" w:rsidP="0033261E">
            <w:pPr>
              <w:spacing w:line="240" w:lineRule="auto"/>
            </w:pPr>
            <w:r w:rsidRPr="00DB4F05">
              <w:t>40,32</w:t>
            </w:r>
          </w:p>
        </w:tc>
      </w:tr>
      <w:tr w:rsidR="00FD7B1F" w:rsidRPr="00DB4F05" w14:paraId="48AE911C" w14:textId="77777777" w:rsidTr="00EC1C96">
        <w:trPr>
          <w:trHeight w:val="320"/>
        </w:trPr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3A63A540" w14:textId="77777777" w:rsidR="00FD7B1F" w:rsidRPr="00DB4F05" w:rsidRDefault="00FD7B1F" w:rsidP="0033261E">
            <w:pPr>
              <w:spacing w:line="240" w:lineRule="auto"/>
            </w:pPr>
            <w:r w:rsidRPr="00DB4F05">
              <w:t>3816</w:t>
            </w:r>
          </w:p>
        </w:tc>
        <w:tc>
          <w:tcPr>
            <w:tcW w:w="4863" w:type="dxa"/>
            <w:shd w:val="clear" w:color="auto" w:fill="auto"/>
            <w:noWrap/>
            <w:vAlign w:val="bottom"/>
            <w:hideMark/>
          </w:tcPr>
          <w:p w14:paraId="1BC76923" w14:textId="77777777" w:rsidR="00FD7B1F" w:rsidRPr="00DB4F05" w:rsidRDefault="00FD7B1F" w:rsidP="0033261E">
            <w:pPr>
              <w:spacing w:line="240" w:lineRule="auto"/>
            </w:pPr>
            <w:r w:rsidRPr="00DB4F05">
              <w:t>Cimentos, argamassas, concretos e composições semelhantes, refratários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C1911DF" w14:textId="1F80D85C" w:rsidR="00FD7B1F" w:rsidRPr="00DB4F05" w:rsidRDefault="00FD7B1F" w:rsidP="0033261E">
            <w:pPr>
              <w:spacing w:line="240" w:lineRule="auto"/>
            </w:pPr>
            <w:r w:rsidRPr="00DB4F05">
              <w:t>2,47</w:t>
            </w:r>
          </w:p>
        </w:tc>
        <w:tc>
          <w:tcPr>
            <w:tcW w:w="1563" w:type="dxa"/>
            <w:shd w:val="clear" w:color="auto" w:fill="auto"/>
            <w:noWrap/>
            <w:vAlign w:val="bottom"/>
            <w:hideMark/>
          </w:tcPr>
          <w:p w14:paraId="78CF6DA7" w14:textId="77777777" w:rsidR="00FD7B1F" w:rsidRPr="00DB4F05" w:rsidRDefault="00FD7B1F" w:rsidP="0033261E">
            <w:pPr>
              <w:spacing w:line="240" w:lineRule="auto"/>
            </w:pPr>
            <w:r w:rsidRPr="00DB4F05">
              <w:t>40,17</w:t>
            </w:r>
          </w:p>
        </w:tc>
      </w:tr>
      <w:tr w:rsidR="00FD7B1F" w:rsidRPr="00DB4F05" w14:paraId="601CC067" w14:textId="77777777" w:rsidTr="00EC1C96">
        <w:trPr>
          <w:trHeight w:val="320"/>
        </w:trPr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6C01B94F" w14:textId="77777777" w:rsidR="00FD7B1F" w:rsidRPr="00DB4F05" w:rsidRDefault="00FD7B1F" w:rsidP="0033261E">
            <w:pPr>
              <w:spacing w:line="240" w:lineRule="auto"/>
            </w:pPr>
            <w:r w:rsidRPr="00DB4F05">
              <w:t>6909</w:t>
            </w:r>
          </w:p>
        </w:tc>
        <w:tc>
          <w:tcPr>
            <w:tcW w:w="4863" w:type="dxa"/>
            <w:shd w:val="clear" w:color="auto" w:fill="auto"/>
            <w:noWrap/>
            <w:vAlign w:val="bottom"/>
            <w:hideMark/>
          </w:tcPr>
          <w:p w14:paraId="192EF93F" w14:textId="77777777" w:rsidR="00FD7B1F" w:rsidRPr="00DB4F05" w:rsidRDefault="00FD7B1F" w:rsidP="0033261E">
            <w:pPr>
              <w:spacing w:line="240" w:lineRule="auto"/>
            </w:pPr>
            <w:r w:rsidRPr="00DB4F05">
              <w:t xml:space="preserve">Aparelhos e artefactos para usos químicos ou para outros usos técnicos, de cerâmica; alguidares, gamelas e outros recipientes </w:t>
            </w:r>
            <w:r w:rsidRPr="00DB4F05">
              <w:lastRenderedPageBreak/>
              <w:t>semelhantes para usos rurais, de cerâmica; bilhas e outras vasilhas próprias para transporte ou embalagem, de cerâmica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1CAEF1" w14:textId="530C82BF" w:rsidR="00FD7B1F" w:rsidRPr="00DB4F05" w:rsidRDefault="00FD7B1F" w:rsidP="0033261E">
            <w:pPr>
              <w:spacing w:line="240" w:lineRule="auto"/>
            </w:pPr>
            <w:r w:rsidRPr="00DB4F05">
              <w:lastRenderedPageBreak/>
              <w:t>1,18</w:t>
            </w:r>
          </w:p>
        </w:tc>
        <w:tc>
          <w:tcPr>
            <w:tcW w:w="1563" w:type="dxa"/>
            <w:shd w:val="clear" w:color="auto" w:fill="auto"/>
            <w:noWrap/>
            <w:vAlign w:val="bottom"/>
            <w:hideMark/>
          </w:tcPr>
          <w:p w14:paraId="79703135" w14:textId="77777777" w:rsidR="00FD7B1F" w:rsidRPr="00DB4F05" w:rsidRDefault="00FD7B1F" w:rsidP="0033261E">
            <w:pPr>
              <w:spacing w:line="240" w:lineRule="auto"/>
            </w:pPr>
            <w:r w:rsidRPr="00DB4F05">
              <w:t>35,4</w:t>
            </w:r>
          </w:p>
        </w:tc>
      </w:tr>
      <w:tr w:rsidR="00FD7B1F" w:rsidRPr="00DB4F05" w14:paraId="7D5FD641" w14:textId="77777777" w:rsidTr="00EC1C96">
        <w:trPr>
          <w:trHeight w:val="320"/>
        </w:trPr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4A0E1CE3" w14:textId="77777777" w:rsidR="00FD7B1F" w:rsidRPr="00DB4F05" w:rsidRDefault="00FD7B1F" w:rsidP="0033261E">
            <w:pPr>
              <w:spacing w:line="240" w:lineRule="auto"/>
            </w:pPr>
            <w:r w:rsidRPr="00DB4F05">
              <w:t>2932</w:t>
            </w:r>
          </w:p>
        </w:tc>
        <w:tc>
          <w:tcPr>
            <w:tcW w:w="4863" w:type="dxa"/>
            <w:shd w:val="clear" w:color="auto" w:fill="auto"/>
            <w:noWrap/>
            <w:vAlign w:val="bottom"/>
            <w:hideMark/>
          </w:tcPr>
          <w:p w14:paraId="1A7718C5" w14:textId="77777777" w:rsidR="00FD7B1F" w:rsidRPr="00DB4F05" w:rsidRDefault="00FD7B1F" w:rsidP="0033261E">
            <w:pPr>
              <w:spacing w:line="240" w:lineRule="auto"/>
            </w:pPr>
            <w:r w:rsidRPr="00DB4F05">
              <w:t>Compostos heterocíclicos exclusivamente de hetero-átomo(s) de oxigénio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5FDEB0C" w14:textId="40DAF783" w:rsidR="00FD7B1F" w:rsidRPr="00DB4F05" w:rsidRDefault="00FD7B1F" w:rsidP="0033261E">
            <w:pPr>
              <w:spacing w:line="240" w:lineRule="auto"/>
            </w:pPr>
            <w:r w:rsidRPr="00DB4F05">
              <w:t>5,24</w:t>
            </w:r>
          </w:p>
        </w:tc>
        <w:tc>
          <w:tcPr>
            <w:tcW w:w="1563" w:type="dxa"/>
            <w:shd w:val="clear" w:color="auto" w:fill="auto"/>
            <w:noWrap/>
            <w:vAlign w:val="bottom"/>
            <w:hideMark/>
          </w:tcPr>
          <w:p w14:paraId="592F0F03" w14:textId="77777777" w:rsidR="00FD7B1F" w:rsidRPr="00DB4F05" w:rsidRDefault="00FD7B1F" w:rsidP="0033261E">
            <w:pPr>
              <w:spacing w:line="240" w:lineRule="auto"/>
            </w:pPr>
            <w:r w:rsidRPr="00DB4F05">
              <w:t>35,24</w:t>
            </w:r>
          </w:p>
        </w:tc>
      </w:tr>
      <w:tr w:rsidR="00015A2A" w:rsidRPr="00DB4F05" w14:paraId="1333E66C" w14:textId="77777777" w:rsidTr="00EC1C96">
        <w:trPr>
          <w:trHeight w:val="320"/>
        </w:trPr>
        <w:tc>
          <w:tcPr>
            <w:tcW w:w="1091" w:type="dxa"/>
            <w:shd w:val="clear" w:color="auto" w:fill="auto"/>
            <w:noWrap/>
            <w:vAlign w:val="bottom"/>
          </w:tcPr>
          <w:p w14:paraId="06874383" w14:textId="77777777" w:rsidR="00015A2A" w:rsidRPr="00DB4F05" w:rsidRDefault="00015A2A" w:rsidP="0033261E">
            <w:pPr>
              <w:spacing w:line="240" w:lineRule="auto"/>
            </w:pPr>
          </w:p>
        </w:tc>
        <w:tc>
          <w:tcPr>
            <w:tcW w:w="4863" w:type="dxa"/>
            <w:shd w:val="clear" w:color="auto" w:fill="auto"/>
            <w:noWrap/>
            <w:vAlign w:val="bottom"/>
          </w:tcPr>
          <w:p w14:paraId="0E35AE77" w14:textId="757812FB" w:rsidR="00015A2A" w:rsidRPr="00DB4F05" w:rsidRDefault="003966FA" w:rsidP="0033261E">
            <w:pPr>
              <w:spacing w:line="240" w:lineRule="auto"/>
              <w:rPr>
                <w:lang w:val="pt-BR"/>
              </w:rPr>
            </w:pPr>
            <w:r w:rsidRPr="00DB4F05">
              <w:rPr>
                <w:lang w:val="pt-BR"/>
              </w:rPr>
              <w:t>Demais Produtos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72D5B6" w14:textId="4027D598" w:rsidR="00015A2A" w:rsidRPr="00DB4F05" w:rsidRDefault="003966FA" w:rsidP="0033261E">
            <w:pPr>
              <w:spacing w:line="240" w:lineRule="auto"/>
              <w:rPr>
                <w:lang w:val="pt-BR"/>
              </w:rPr>
            </w:pPr>
            <w:r w:rsidRPr="00DB4F05">
              <w:rPr>
                <w:lang w:val="pt-BR"/>
              </w:rPr>
              <w:t>427,97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14:paraId="1C7D6FBA" w14:textId="77777777" w:rsidR="00015A2A" w:rsidRPr="00DB4F05" w:rsidRDefault="00015A2A" w:rsidP="0033261E">
            <w:pPr>
              <w:spacing w:line="240" w:lineRule="auto"/>
            </w:pPr>
          </w:p>
        </w:tc>
      </w:tr>
      <w:tr w:rsidR="003966FA" w:rsidRPr="00DB4F05" w14:paraId="128B357F" w14:textId="77777777" w:rsidTr="00EC1C96">
        <w:trPr>
          <w:trHeight w:val="320"/>
        </w:trPr>
        <w:tc>
          <w:tcPr>
            <w:tcW w:w="1091" w:type="dxa"/>
            <w:shd w:val="clear" w:color="auto" w:fill="auto"/>
            <w:noWrap/>
            <w:vAlign w:val="bottom"/>
          </w:tcPr>
          <w:p w14:paraId="29BCF986" w14:textId="77777777" w:rsidR="003966FA" w:rsidRPr="00DB4F05" w:rsidRDefault="003966FA" w:rsidP="0033261E">
            <w:pPr>
              <w:spacing w:line="240" w:lineRule="auto"/>
            </w:pPr>
          </w:p>
        </w:tc>
        <w:tc>
          <w:tcPr>
            <w:tcW w:w="4863" w:type="dxa"/>
            <w:shd w:val="clear" w:color="auto" w:fill="auto"/>
            <w:noWrap/>
            <w:vAlign w:val="bottom"/>
          </w:tcPr>
          <w:p w14:paraId="51BD4027" w14:textId="6CCD1E9A" w:rsidR="003966FA" w:rsidRPr="00DB4F05" w:rsidRDefault="003966FA" w:rsidP="0033261E">
            <w:pPr>
              <w:spacing w:line="240" w:lineRule="auto"/>
              <w:rPr>
                <w:lang w:val="pt-BR"/>
              </w:rPr>
            </w:pPr>
            <w:r w:rsidRPr="00DB4F05">
              <w:rPr>
                <w:lang w:val="pt-BR"/>
              </w:rPr>
              <w:t>Total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52F407" w14:textId="57B5A12A" w:rsidR="003966FA" w:rsidRPr="00DB4F05" w:rsidRDefault="00EC1C96" w:rsidP="0033261E">
            <w:pPr>
              <w:spacing w:line="240" w:lineRule="auto"/>
              <w:rPr>
                <w:lang w:val="pt-BR"/>
              </w:rPr>
            </w:pPr>
            <w:r w:rsidRPr="00DB4F05">
              <w:rPr>
                <w:lang w:val="pt-BR"/>
              </w:rPr>
              <w:t>493,93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14:paraId="5D68A4E8" w14:textId="77777777" w:rsidR="003966FA" w:rsidRPr="00DB4F05" w:rsidRDefault="003966FA" w:rsidP="0033261E">
            <w:pPr>
              <w:spacing w:line="240" w:lineRule="auto"/>
            </w:pPr>
          </w:p>
        </w:tc>
      </w:tr>
    </w:tbl>
    <w:p w14:paraId="4879A940" w14:textId="123A44AE" w:rsidR="006B3EDD" w:rsidRPr="0033261E" w:rsidRDefault="00B41427" w:rsidP="00AA7205">
      <w:pPr>
        <w:pStyle w:val="Textodenotaderodap"/>
        <w:rPr>
          <w:rStyle w:val="nfaseSutil"/>
          <w:rFonts w:ascii="Times" w:hAnsi="Times"/>
          <w:i w:val="0"/>
          <w:iCs w:val="0"/>
          <w:color w:val="000000" w:themeColor="text1"/>
        </w:rPr>
      </w:pPr>
      <w:r w:rsidRPr="0033261E">
        <w:rPr>
          <w:rStyle w:val="nfaseSutil"/>
          <w:rFonts w:ascii="Times" w:hAnsi="Times"/>
          <w:i w:val="0"/>
          <w:iCs w:val="0"/>
          <w:color w:val="000000" w:themeColor="text1"/>
        </w:rPr>
        <w:t xml:space="preserve">Fonte: Elaboração própria partir de dados da Secretaria de Comércio Exterior (SECEX) e Observatório de Complexidade Econômica (OCE). </w:t>
      </w:r>
    </w:p>
    <w:p w14:paraId="503F94FD" w14:textId="42856254" w:rsidR="003D229A" w:rsidRPr="00DB4F05" w:rsidRDefault="004F4B64" w:rsidP="00E20427">
      <w:pPr>
        <w:rPr>
          <w:lang w:val="pt-BR"/>
        </w:rPr>
      </w:pPr>
      <w:r w:rsidRPr="00DB4F05">
        <w:rPr>
          <w:lang w:val="pt-BR"/>
        </w:rPr>
        <w:t>Nota-se, por exemplo, que o</w:t>
      </w:r>
      <w:r w:rsidRPr="00DB4F05">
        <w:t xml:space="preserve"> aço inoxidável (7218) é o exemplo mais crítico, com 71,02% das exportações do grupo direcionadas ao mercado norte-americano. Situações semelhantes são observadas nos ácidos policarboxílicos, em máquinas e equipamentos para papel e cartão e em compostos heterocíclicos, todos com taxas de especialização superiores a 35%.</w:t>
      </w:r>
    </w:p>
    <w:p w14:paraId="30DDF8BD" w14:textId="154CFE83" w:rsidR="003D229A" w:rsidRPr="00DB4F05" w:rsidRDefault="003D229A" w:rsidP="00AA7205">
      <w:pPr>
        <w:pStyle w:val="Ttulo1"/>
        <w:pBdr>
          <w:bottom w:val="single" w:sz="4" w:space="1" w:color="auto"/>
        </w:pBdr>
      </w:pPr>
      <w:r w:rsidRPr="00DB4F05">
        <w:t>Conclusões</w:t>
      </w:r>
    </w:p>
    <w:p w14:paraId="5BB2AF04" w14:textId="61444D2E" w:rsidR="00EF17CE" w:rsidRPr="009D7557" w:rsidRDefault="00EF17CE" w:rsidP="00E20427">
      <w:pPr>
        <w:pStyle w:val="NormalWeb"/>
        <w:rPr>
          <w:lang w:val="pt-BR"/>
        </w:rPr>
      </w:pPr>
      <w:r w:rsidRPr="00DB4F05">
        <w:t>A análise demonstra que a maior parte das exportações da Região Metropolitana de Campinas para os Estados Unidos está amplamente exposta à tarifa de 50%</w:t>
      </w:r>
      <w:r w:rsidR="008941AE" w:rsidRPr="00DB4F05">
        <w:rPr>
          <w:lang w:val="pt-BR"/>
        </w:rPr>
        <w:t xml:space="preserve"> imposta pelo governo americano</w:t>
      </w:r>
      <w:r w:rsidRPr="00DB4F05">
        <w:t>. Do total de aproximadamente 837 milhões de dólares exportados</w:t>
      </w:r>
      <w:r w:rsidR="008941AE" w:rsidRPr="00DB4F05">
        <w:t>, no período de 12 meses entre agosto de 2024 e julho de 2025,</w:t>
      </w:r>
      <w:r w:rsidRPr="00DB4F05">
        <w:t xml:space="preserve"> apenas 277,39 milhões de dólares, equivalentes a 33,13%, correspondem a grupos com isenções vinculadas exclusivamente ao setor aeronáutico, cujo alcance efetivo é restrito. Outros 85,83 milhões de dólares, ou 10,25% do total, referem-se a grupos com isenções parciais, sem exclusividade para aviação. </w:t>
      </w:r>
      <w:r w:rsidR="00E70E4A">
        <w:rPr>
          <w:lang w:val="pt-BR"/>
        </w:rPr>
        <w:t xml:space="preserve">Para estes dois casos, é possível que parcela relevante dos produtos ainda esteja sujeitos às tarifas. </w:t>
      </w:r>
      <w:r w:rsidR="00AD5025" w:rsidRPr="00DB4F05">
        <w:rPr>
          <w:lang w:val="pt-BR"/>
        </w:rPr>
        <w:t>Por outro lado</w:t>
      </w:r>
      <w:r w:rsidRPr="00DB4F05">
        <w:t>, 493,93 milhões de dólares, correspondentes a 59% das exportações regionais para os Estados Unidos, não possuem qualquer produto isento e encontram-se integralmente sujeitos à nova tarifa</w:t>
      </w:r>
      <w:r w:rsidR="009D7557">
        <w:rPr>
          <w:lang w:val="pt-BR"/>
        </w:rPr>
        <w:t xml:space="preserve"> de 50%. </w:t>
      </w:r>
    </w:p>
    <w:p w14:paraId="70F10B9C" w14:textId="64D614BA" w:rsidR="00EF17CE" w:rsidRPr="00F32721" w:rsidRDefault="009D7557" w:rsidP="00E20427">
      <w:pPr>
        <w:pStyle w:val="NormalWeb"/>
        <w:rPr>
          <w:lang w:val="pt-BR"/>
        </w:rPr>
      </w:pPr>
      <w:r>
        <w:rPr>
          <w:lang w:val="pt-BR"/>
        </w:rPr>
        <w:t>Existem setores da economia regional com exportações altamente especializadas nos mercados estado-unidenses</w:t>
      </w:r>
      <w:r w:rsidR="00EF17CE" w:rsidRPr="00DB4F05">
        <w:t xml:space="preserve">. </w:t>
      </w:r>
      <w:r w:rsidR="00E96166">
        <w:rPr>
          <w:lang w:val="pt-BR"/>
        </w:rPr>
        <w:t xml:space="preserve">Dentre produtos com maior valor exportado, </w:t>
      </w:r>
      <w:r w:rsidR="00B31C36" w:rsidRPr="00DB4F05">
        <w:t xml:space="preserve">81,87% </w:t>
      </w:r>
      <w:r w:rsidR="00B31C36">
        <w:rPr>
          <w:lang w:val="pt-BR"/>
        </w:rPr>
        <w:t xml:space="preserve">das exportações de </w:t>
      </w:r>
      <w:r w:rsidR="00E96166">
        <w:rPr>
          <w:lang w:val="pt-BR"/>
        </w:rPr>
        <w:t>p</w:t>
      </w:r>
      <w:r w:rsidR="00EF17CE" w:rsidRPr="00DB4F05">
        <w:t>neus recauchutados (</w:t>
      </w:r>
      <w:r w:rsidR="00894DA8">
        <w:rPr>
          <w:lang w:val="pt-BR"/>
        </w:rPr>
        <w:t xml:space="preserve">NCM </w:t>
      </w:r>
      <w:r w:rsidR="00EF17CE" w:rsidRPr="00DB4F05">
        <w:t xml:space="preserve">4012) </w:t>
      </w:r>
      <w:r w:rsidR="00B31C36">
        <w:rPr>
          <w:lang w:val="pt-BR"/>
        </w:rPr>
        <w:t>foram destinadas</w:t>
      </w:r>
      <w:r w:rsidR="00EF17CE" w:rsidRPr="00DB4F05">
        <w:t xml:space="preserve"> aos EUA</w:t>
      </w:r>
      <w:r w:rsidR="00285401">
        <w:rPr>
          <w:lang w:val="pt-BR"/>
        </w:rPr>
        <w:t>. Para os m</w:t>
      </w:r>
      <w:r w:rsidR="00EF17CE" w:rsidRPr="00DB4F05">
        <w:t>otores e geradores elétricos (</w:t>
      </w:r>
      <w:r w:rsidR="00894DA8">
        <w:rPr>
          <w:lang w:val="pt-BR"/>
        </w:rPr>
        <w:t xml:space="preserve">NCM </w:t>
      </w:r>
      <w:r w:rsidR="00EF17CE" w:rsidRPr="00DB4F05">
        <w:t xml:space="preserve">8501) </w:t>
      </w:r>
      <w:r w:rsidR="00285401">
        <w:rPr>
          <w:lang w:val="pt-BR"/>
        </w:rPr>
        <w:t xml:space="preserve">o percentual foi de </w:t>
      </w:r>
      <w:r w:rsidR="00EF17CE" w:rsidRPr="00DB4F05">
        <w:t>24,48%</w:t>
      </w:r>
      <w:r w:rsidR="00285401">
        <w:rPr>
          <w:lang w:val="pt-BR"/>
        </w:rPr>
        <w:t xml:space="preserve">. Dentre produtos de menor magnitude do valor exportado, porém de maior nível de especialização, destacam-se: </w:t>
      </w:r>
      <w:r w:rsidR="00EF17CE" w:rsidRPr="00DB4F05">
        <w:t>partes de máquinas (</w:t>
      </w:r>
      <w:r w:rsidR="00894DA8">
        <w:rPr>
          <w:lang w:val="pt-BR"/>
        </w:rPr>
        <w:t xml:space="preserve">NCM </w:t>
      </w:r>
      <w:r w:rsidR="00EF17CE" w:rsidRPr="00DB4F05">
        <w:t xml:space="preserve">8503) com </w:t>
      </w:r>
      <w:r w:rsidR="00EF17CE" w:rsidRPr="00DB4F05">
        <w:lastRenderedPageBreak/>
        <w:t>40,32%, amidos e féculas (</w:t>
      </w:r>
      <w:r w:rsidR="00894DA8">
        <w:rPr>
          <w:lang w:val="pt-BR"/>
        </w:rPr>
        <w:t xml:space="preserve">NCM </w:t>
      </w:r>
      <w:r w:rsidR="00EF17CE" w:rsidRPr="00DB4F05">
        <w:t>1108) com 41,07%, ácidos policarboxílicos (</w:t>
      </w:r>
      <w:r w:rsidR="00894DA8">
        <w:rPr>
          <w:lang w:val="pt-BR"/>
        </w:rPr>
        <w:t xml:space="preserve">NCM </w:t>
      </w:r>
      <w:r w:rsidR="00EF17CE" w:rsidRPr="00DB4F05">
        <w:t>2917) com 49,79% e, sobretudo, aço inoxidável (</w:t>
      </w:r>
      <w:r w:rsidR="00E96166">
        <w:rPr>
          <w:lang w:val="pt-BR"/>
        </w:rPr>
        <w:t xml:space="preserve">NCM </w:t>
      </w:r>
      <w:r w:rsidR="00EF17CE" w:rsidRPr="00DB4F05">
        <w:t xml:space="preserve">7218), em que 71,02% das exportações </w:t>
      </w:r>
      <w:r w:rsidR="00F32721">
        <w:rPr>
          <w:lang w:val="pt-BR"/>
        </w:rPr>
        <w:t xml:space="preserve">para os EUA. </w:t>
      </w:r>
    </w:p>
    <w:p w14:paraId="6DE8DC4B" w14:textId="66CC7CB2" w:rsidR="00132F1E" w:rsidRPr="00721FAA" w:rsidRDefault="00EF17CE" w:rsidP="00336E73">
      <w:pPr>
        <w:pStyle w:val="NormalWeb"/>
        <w:rPr>
          <w:lang w:val="pt-BR"/>
        </w:rPr>
      </w:pPr>
      <w:r w:rsidRPr="00721FAA">
        <w:t xml:space="preserve">Conclui-se, portanto, que embora a lista de exceções inclua setores relevantes, sua capacidade de mitigar os impactos é limitada e insuficiente diante da magnitude da exposição. A pauta exportadora da RMC revela forte </w:t>
      </w:r>
      <w:r w:rsidR="00F32721" w:rsidRPr="00721FAA">
        <w:rPr>
          <w:lang w:val="pt-BR"/>
        </w:rPr>
        <w:t>exposição</w:t>
      </w:r>
      <w:r w:rsidR="00AB2DA9" w:rsidRPr="00721FAA">
        <w:rPr>
          <w:lang w:val="pt-BR"/>
        </w:rPr>
        <w:t xml:space="preserve"> aos efeitos adversos das tarifas</w:t>
      </w:r>
      <w:r w:rsidRPr="00721FAA">
        <w:t xml:space="preserve">, tanto pela concentração de valor em produtos sujeitos integralmente à tarifa quanto pela </w:t>
      </w:r>
      <w:r w:rsidR="00AB2DA9" w:rsidRPr="00721FAA">
        <w:rPr>
          <w:lang w:val="pt-BR"/>
        </w:rPr>
        <w:t>existência de</w:t>
      </w:r>
      <w:r w:rsidRPr="00721FAA">
        <w:t xml:space="preserve"> setores altamente especializados nos Estados Unidos, o que amplia os riscos de </w:t>
      </w:r>
      <w:r w:rsidR="002E578C" w:rsidRPr="00721FAA">
        <w:rPr>
          <w:lang w:val="pt-BR"/>
        </w:rPr>
        <w:t xml:space="preserve">impactos importantes </w:t>
      </w:r>
      <w:r w:rsidR="00331264" w:rsidRPr="00721FAA">
        <w:rPr>
          <w:lang w:val="pt-BR"/>
        </w:rPr>
        <w:t xml:space="preserve">para setores específicos. </w:t>
      </w:r>
    </w:p>
    <w:p w14:paraId="5EBCB718" w14:textId="0BB65498" w:rsidR="00721FAA" w:rsidRPr="007647C9" w:rsidRDefault="00721FAA" w:rsidP="00721FAA">
      <w:pPr>
        <w:pStyle w:val="NormalWeb"/>
        <w:rPr>
          <w:lang w:val="pt-BR"/>
        </w:rPr>
      </w:pPr>
      <w:r w:rsidRPr="00721FAA">
        <w:t>É importante considerar que, em alguns municípios da Região, pode haver impactos relevantes sobre o emprego e a arrecadação de impostos, especialmente nos de menor porte, cuja economia depende fortemente da atuação de poucas empresas voltadas ao mercado norte-americano.</w:t>
      </w:r>
      <w:r w:rsidR="007647C9">
        <w:rPr>
          <w:lang w:val="pt-BR"/>
        </w:rPr>
        <w:t xml:space="preserve"> </w:t>
      </w:r>
      <w:r w:rsidR="006D5C04">
        <w:rPr>
          <w:lang w:val="pt-BR"/>
        </w:rPr>
        <w:t xml:space="preserve">Santo Antônio de Posse, por exemplo, </w:t>
      </w:r>
      <w:r w:rsidR="00065F8E">
        <w:rPr>
          <w:lang w:val="pt-BR"/>
        </w:rPr>
        <w:t xml:space="preserve">destinou 77,7% das suas exportações para os Estados Unidos em 2024. </w:t>
      </w:r>
      <w:r w:rsidR="0037302B">
        <w:rPr>
          <w:lang w:val="pt-BR"/>
        </w:rPr>
        <w:t xml:space="preserve">O município exporta </w:t>
      </w:r>
      <w:r w:rsidR="00EE3279">
        <w:rPr>
          <w:lang w:val="pt-BR"/>
        </w:rPr>
        <w:t xml:space="preserve">quase que exclusivamente preparações de carne (NCM 1602), que representou </w:t>
      </w:r>
      <w:r w:rsidR="003B23D5">
        <w:rPr>
          <w:lang w:val="pt-BR"/>
        </w:rPr>
        <w:t xml:space="preserve">93,2% do total exportado em 2024. Isto evidencia </w:t>
      </w:r>
      <w:r w:rsidR="00B9065F">
        <w:rPr>
          <w:lang w:val="pt-BR"/>
        </w:rPr>
        <w:t xml:space="preserve">o alto grau de especialização das empresas do município em mercados estado-unidenses, e a magnitude potencial do impacto do tarifaço para a atividade econômica do município. </w:t>
      </w:r>
    </w:p>
    <w:p w14:paraId="0F5127C2" w14:textId="101708E3" w:rsidR="00B641B8" w:rsidRPr="00DB4F05" w:rsidRDefault="00B641B8" w:rsidP="00AA7205">
      <w:pPr>
        <w:pStyle w:val="Ttulo1"/>
        <w:pBdr>
          <w:bottom w:val="single" w:sz="4" w:space="1" w:color="auto"/>
        </w:pBdr>
      </w:pPr>
      <w:r w:rsidRPr="00DB4F05">
        <w:t>Referências</w:t>
      </w:r>
    </w:p>
    <w:p w14:paraId="49DD92DA" w14:textId="3278CBE3" w:rsidR="001E186F" w:rsidRDefault="00331264" w:rsidP="00E20427">
      <w:r w:rsidRPr="00DB4F05">
        <w:t>BRASIL. Ministério do Desenvolvimento, Indústria, Comércio e Serviços. Secretaria de Comércio Exterior – SECEX.</w:t>
      </w:r>
      <w:r w:rsidRPr="00DB4F05">
        <w:rPr>
          <w:rStyle w:val="apple-converted-space"/>
          <w:sz w:val="27"/>
          <w:szCs w:val="27"/>
        </w:rPr>
        <w:t> </w:t>
      </w:r>
      <w:r w:rsidRPr="00DB4F05">
        <w:rPr>
          <w:rStyle w:val="nfase"/>
        </w:rPr>
        <w:t>Sistema de Análise das Informações de Comércio Exterior (Comex Stat)</w:t>
      </w:r>
      <w:r w:rsidRPr="00DB4F05">
        <w:t>. Brasília: MDIC, 2025. Disponível em:</w:t>
      </w:r>
      <w:r w:rsidRPr="00DB4F05">
        <w:rPr>
          <w:rStyle w:val="apple-converted-space"/>
          <w:sz w:val="27"/>
          <w:szCs w:val="27"/>
        </w:rPr>
        <w:t> </w:t>
      </w:r>
      <w:r w:rsidRPr="00DB4F05">
        <w:t>https://comexstat.mdic.gov.br/. Acesso em: 19 ago. 2025.</w:t>
      </w:r>
    </w:p>
    <w:p w14:paraId="3A135F2E" w14:textId="36E2DB2C" w:rsidR="00BE5764" w:rsidRPr="00BE5764" w:rsidRDefault="00BE5764" w:rsidP="00E20427">
      <w:pPr>
        <w:rPr>
          <w:color w:val="0000FF"/>
          <w:u w:val="single"/>
        </w:rPr>
      </w:pPr>
      <w:r w:rsidRPr="00DB4F05">
        <w:rPr>
          <w:sz w:val="27"/>
          <w:szCs w:val="27"/>
        </w:rPr>
        <w:t>INSTITUTO DE PESQUISA ECONÔMICA APLICADA (Ipea).</w:t>
      </w:r>
      <w:r w:rsidRPr="00DB4F05">
        <w:rPr>
          <w:rStyle w:val="apple-converted-space"/>
          <w:sz w:val="27"/>
          <w:szCs w:val="27"/>
        </w:rPr>
        <w:t> </w:t>
      </w:r>
      <w:r w:rsidRPr="00DB4F05">
        <w:rPr>
          <w:rStyle w:val="nfase"/>
        </w:rPr>
        <w:t>Visão Geral da Conjuntura: Carta de Conjuntura n.º 67 – Nota de Conjuntura n.º 26 – 2.º trimestre de 2025</w:t>
      </w:r>
      <w:r w:rsidRPr="00DB4F05">
        <w:rPr>
          <w:sz w:val="27"/>
          <w:szCs w:val="27"/>
        </w:rPr>
        <w:t>. Brasília, 1 jul. 2025. Disponível em:</w:t>
      </w:r>
      <w:r w:rsidRPr="00DB4F05">
        <w:rPr>
          <w:rStyle w:val="apple-converted-space"/>
          <w:sz w:val="27"/>
          <w:szCs w:val="27"/>
        </w:rPr>
        <w:t> </w:t>
      </w:r>
      <w:hyperlink r:id="rId13" w:tgtFrame="_new" w:history="1">
        <w:r w:rsidRPr="00DB4F05">
          <w:rPr>
            <w:rStyle w:val="Hyperlink"/>
          </w:rPr>
          <w:t>https://www.ipea.gov.br/cartadeconjuntura/wp-content/uploads/2025/07/250701_cc_67_nota_26_visao_geral.pdf</w:t>
        </w:r>
      </w:hyperlink>
      <w:r w:rsidRPr="00DB4F05">
        <w:rPr>
          <w:sz w:val="27"/>
          <w:szCs w:val="27"/>
        </w:rPr>
        <w:t>. Acesso em: 18 ago. 2025.</w:t>
      </w:r>
    </w:p>
    <w:p w14:paraId="411F3B06" w14:textId="5CE6AE7F" w:rsidR="001E186F" w:rsidRPr="00DB4F05" w:rsidRDefault="001E186F" w:rsidP="00E20427">
      <w:pPr>
        <w:rPr>
          <w:lang w:val="pt-BR"/>
        </w:rPr>
      </w:pPr>
      <w:r w:rsidRPr="00DB4F05">
        <w:rPr>
          <w:rStyle w:val="Forte"/>
        </w:rPr>
        <w:t>Observatory of Economic Complexity (OEC)</w:t>
      </w:r>
      <w:r w:rsidRPr="00DB4F05">
        <w:br/>
      </w:r>
      <w:r w:rsidRPr="00DB4F05">
        <w:rPr>
          <w:sz w:val="27"/>
          <w:szCs w:val="27"/>
        </w:rPr>
        <w:t>OBSERVATORY OF ECONOMIC COMPLEXITY (OEC).</w:t>
      </w:r>
      <w:r w:rsidRPr="00DB4F05">
        <w:rPr>
          <w:rStyle w:val="apple-converted-space"/>
          <w:sz w:val="27"/>
          <w:szCs w:val="27"/>
        </w:rPr>
        <w:t> </w:t>
      </w:r>
      <w:r w:rsidRPr="00DB4F05">
        <w:rPr>
          <w:rStyle w:val="nfase"/>
        </w:rPr>
        <w:t xml:space="preserve">The Observatory of </w:t>
      </w:r>
      <w:r w:rsidRPr="00DB4F05">
        <w:rPr>
          <w:rStyle w:val="nfase"/>
        </w:rPr>
        <w:lastRenderedPageBreak/>
        <w:t>Economic Complexity</w:t>
      </w:r>
      <w:r w:rsidRPr="00DB4F05">
        <w:rPr>
          <w:sz w:val="27"/>
          <w:szCs w:val="27"/>
        </w:rPr>
        <w:t>. Cambridge, MA: Datawheel LLC, 2025. Disponível em:</w:t>
      </w:r>
      <w:r w:rsidRPr="00DB4F05">
        <w:rPr>
          <w:rStyle w:val="apple-converted-space"/>
          <w:sz w:val="27"/>
          <w:szCs w:val="27"/>
        </w:rPr>
        <w:t> </w:t>
      </w:r>
      <w:hyperlink r:id="rId14" w:tgtFrame="_new" w:history="1">
        <w:r w:rsidRPr="00DB4F05">
          <w:rPr>
            <w:rStyle w:val="Hyperlink"/>
          </w:rPr>
          <w:t>https://oec.world/</w:t>
        </w:r>
      </w:hyperlink>
      <w:r w:rsidRPr="00DB4F05">
        <w:rPr>
          <w:sz w:val="27"/>
          <w:szCs w:val="27"/>
        </w:rPr>
        <w:t>. Acesso em: 19 ago. 2025.</w:t>
      </w:r>
    </w:p>
    <w:sectPr w:rsidR="001E186F" w:rsidRPr="00DB4F05" w:rsidSect="005E0690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6D563" w14:textId="77777777" w:rsidR="00081835" w:rsidRDefault="00081835" w:rsidP="00E20427">
      <w:r>
        <w:separator/>
      </w:r>
    </w:p>
  </w:endnote>
  <w:endnote w:type="continuationSeparator" w:id="0">
    <w:p w14:paraId="2F8C5F58" w14:textId="77777777" w:rsidR="00081835" w:rsidRDefault="00081835" w:rsidP="00E20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A0B1A" w14:textId="77777777" w:rsidR="00081835" w:rsidRDefault="00081835" w:rsidP="00E20427">
      <w:r>
        <w:separator/>
      </w:r>
    </w:p>
  </w:footnote>
  <w:footnote w:type="continuationSeparator" w:id="0">
    <w:p w14:paraId="6D27B8BA" w14:textId="77777777" w:rsidR="00081835" w:rsidRDefault="00081835" w:rsidP="00E20427">
      <w:r>
        <w:continuationSeparator/>
      </w:r>
    </w:p>
  </w:footnote>
  <w:footnote w:id="1">
    <w:p w14:paraId="290F9E09" w14:textId="462F00DC" w:rsidR="00906D70" w:rsidRPr="00906D70" w:rsidRDefault="00906D70" w:rsidP="00BC6D2B">
      <w:pPr>
        <w:pStyle w:val="Textodenotaderodap"/>
        <w:spacing w:line="240" w:lineRule="auto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rPr>
          <w:lang w:val="pt-BR"/>
        </w:rPr>
        <w:t>A lista completa c</w:t>
      </w:r>
      <w:r w:rsidR="005F65BA">
        <w:rPr>
          <w:lang w:val="pt-BR"/>
        </w:rPr>
        <w:t>om as 73 posições com exceção tarifária para produtos</w:t>
      </w:r>
      <w:r w:rsidR="002300C8">
        <w:rPr>
          <w:lang w:val="pt-BR"/>
        </w:rPr>
        <w:t xml:space="preserve"> destinados ao setor</w:t>
      </w:r>
      <w:r w:rsidR="005F65BA">
        <w:rPr>
          <w:lang w:val="pt-BR"/>
        </w:rPr>
        <w:t xml:space="preserve"> aeronáuticos está disponível sob demanda direcionada ao </w:t>
      </w:r>
      <w:r w:rsidR="00B623A9">
        <w:rPr>
          <w:lang w:val="pt-BR"/>
        </w:rPr>
        <w:t xml:space="preserve">Observatório PUC-Campinas, pelo e-mail </w:t>
      </w:r>
      <w:hyperlink r:id="rId1" w:history="1">
        <w:r w:rsidR="00B623A9" w:rsidRPr="00D6601F">
          <w:rPr>
            <w:rStyle w:val="Hyperlink"/>
            <w:lang w:val="pt-BR"/>
          </w:rPr>
          <w:t>observatorio@puc-campinas.edu.br</w:t>
        </w:r>
      </w:hyperlink>
      <w:r w:rsidR="00B623A9">
        <w:rPr>
          <w:lang w:val="pt-BR"/>
        </w:rPr>
        <w:t xml:space="preserve"> .</w:t>
      </w:r>
      <w:r w:rsidR="00BC6D2B">
        <w:rPr>
          <w:lang w:val="pt-BR"/>
        </w:rPr>
        <w:t xml:space="preserve"> Os requerentes devem se identificar e explicitar a finalidade da requisição.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75C3"/>
    <w:multiLevelType w:val="multilevel"/>
    <w:tmpl w:val="058E8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B271D8"/>
    <w:multiLevelType w:val="hybridMultilevel"/>
    <w:tmpl w:val="CD6AD09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B308C"/>
    <w:multiLevelType w:val="hybridMultilevel"/>
    <w:tmpl w:val="64265A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A050DC"/>
    <w:multiLevelType w:val="hybridMultilevel"/>
    <w:tmpl w:val="9E8E3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33B61"/>
    <w:multiLevelType w:val="multilevel"/>
    <w:tmpl w:val="78ACB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953AB5"/>
    <w:multiLevelType w:val="multilevel"/>
    <w:tmpl w:val="CE345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383BD8"/>
    <w:multiLevelType w:val="multilevel"/>
    <w:tmpl w:val="0FEE5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35747A"/>
    <w:multiLevelType w:val="hybridMultilevel"/>
    <w:tmpl w:val="86306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C2804"/>
    <w:multiLevelType w:val="multilevel"/>
    <w:tmpl w:val="B34A8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8"/>
  </w:num>
  <w:num w:numId="5">
    <w:abstractNumId w:val="5"/>
  </w:num>
  <w:num w:numId="6">
    <w:abstractNumId w:val="7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870"/>
    <w:rsid w:val="0000059F"/>
    <w:rsid w:val="00001FF2"/>
    <w:rsid w:val="000020FB"/>
    <w:rsid w:val="00006D2C"/>
    <w:rsid w:val="000127D4"/>
    <w:rsid w:val="00015A2A"/>
    <w:rsid w:val="00016ED7"/>
    <w:rsid w:val="0002227F"/>
    <w:rsid w:val="00024D3B"/>
    <w:rsid w:val="00037684"/>
    <w:rsid w:val="000462AF"/>
    <w:rsid w:val="000510DD"/>
    <w:rsid w:val="00056BF0"/>
    <w:rsid w:val="00062016"/>
    <w:rsid w:val="000625D7"/>
    <w:rsid w:val="00065E2D"/>
    <w:rsid w:val="00065F8E"/>
    <w:rsid w:val="00072EB2"/>
    <w:rsid w:val="000774F6"/>
    <w:rsid w:val="00081835"/>
    <w:rsid w:val="00086018"/>
    <w:rsid w:val="00091BDC"/>
    <w:rsid w:val="00093022"/>
    <w:rsid w:val="00095324"/>
    <w:rsid w:val="000A0AC3"/>
    <w:rsid w:val="000A15D9"/>
    <w:rsid w:val="000A5C5C"/>
    <w:rsid w:val="000A7322"/>
    <w:rsid w:val="000A7B69"/>
    <w:rsid w:val="000C5B64"/>
    <w:rsid w:val="000C61B2"/>
    <w:rsid w:val="000E24EB"/>
    <w:rsid w:val="000E693B"/>
    <w:rsid w:val="000F442E"/>
    <w:rsid w:val="000F450F"/>
    <w:rsid w:val="001065C1"/>
    <w:rsid w:val="001150A6"/>
    <w:rsid w:val="00115322"/>
    <w:rsid w:val="0012099E"/>
    <w:rsid w:val="00132F1E"/>
    <w:rsid w:val="001361F6"/>
    <w:rsid w:val="00146B4B"/>
    <w:rsid w:val="00150291"/>
    <w:rsid w:val="00160464"/>
    <w:rsid w:val="00162CFB"/>
    <w:rsid w:val="001746EC"/>
    <w:rsid w:val="00176691"/>
    <w:rsid w:val="00187104"/>
    <w:rsid w:val="001A1D1C"/>
    <w:rsid w:val="001B3247"/>
    <w:rsid w:val="001B33DE"/>
    <w:rsid w:val="001C1003"/>
    <w:rsid w:val="001C2C5F"/>
    <w:rsid w:val="001C2C65"/>
    <w:rsid w:val="001C4EEA"/>
    <w:rsid w:val="001D1D55"/>
    <w:rsid w:val="001D4182"/>
    <w:rsid w:val="001D5A96"/>
    <w:rsid w:val="001E0000"/>
    <w:rsid w:val="001E186F"/>
    <w:rsid w:val="001E2924"/>
    <w:rsid w:val="001E4426"/>
    <w:rsid w:val="001E7442"/>
    <w:rsid w:val="001F6EC6"/>
    <w:rsid w:val="00200672"/>
    <w:rsid w:val="00220432"/>
    <w:rsid w:val="00221F88"/>
    <w:rsid w:val="002300C8"/>
    <w:rsid w:val="00234DA5"/>
    <w:rsid w:val="00235176"/>
    <w:rsid w:val="00237933"/>
    <w:rsid w:val="00243A09"/>
    <w:rsid w:val="002500CE"/>
    <w:rsid w:val="00262335"/>
    <w:rsid w:val="00262382"/>
    <w:rsid w:val="00262D1D"/>
    <w:rsid w:val="00266FAE"/>
    <w:rsid w:val="00270A83"/>
    <w:rsid w:val="00271337"/>
    <w:rsid w:val="00274BC8"/>
    <w:rsid w:val="00275C69"/>
    <w:rsid w:val="00285401"/>
    <w:rsid w:val="00294B81"/>
    <w:rsid w:val="0029517D"/>
    <w:rsid w:val="0029723D"/>
    <w:rsid w:val="002B1195"/>
    <w:rsid w:val="002B15C3"/>
    <w:rsid w:val="002B1D43"/>
    <w:rsid w:val="002B56C5"/>
    <w:rsid w:val="002B63C6"/>
    <w:rsid w:val="002E342E"/>
    <w:rsid w:val="002E4AA6"/>
    <w:rsid w:val="002E578C"/>
    <w:rsid w:val="002E7B51"/>
    <w:rsid w:val="002F3D06"/>
    <w:rsid w:val="00300D57"/>
    <w:rsid w:val="003117D4"/>
    <w:rsid w:val="003179A7"/>
    <w:rsid w:val="00325E31"/>
    <w:rsid w:val="00331264"/>
    <w:rsid w:val="0033261E"/>
    <w:rsid w:val="00336E73"/>
    <w:rsid w:val="003406DC"/>
    <w:rsid w:val="00342146"/>
    <w:rsid w:val="00370185"/>
    <w:rsid w:val="0037302B"/>
    <w:rsid w:val="00384F3C"/>
    <w:rsid w:val="003966FA"/>
    <w:rsid w:val="003A598E"/>
    <w:rsid w:val="003B1961"/>
    <w:rsid w:val="003B23D5"/>
    <w:rsid w:val="003B2AB7"/>
    <w:rsid w:val="003B63F1"/>
    <w:rsid w:val="003C13E2"/>
    <w:rsid w:val="003D0222"/>
    <w:rsid w:val="003D229A"/>
    <w:rsid w:val="003D74F4"/>
    <w:rsid w:val="003E0168"/>
    <w:rsid w:val="003E0214"/>
    <w:rsid w:val="003E0D15"/>
    <w:rsid w:val="003E2ED6"/>
    <w:rsid w:val="003E449B"/>
    <w:rsid w:val="003E66FA"/>
    <w:rsid w:val="003F2E69"/>
    <w:rsid w:val="00401524"/>
    <w:rsid w:val="00404BD7"/>
    <w:rsid w:val="00406964"/>
    <w:rsid w:val="0041248A"/>
    <w:rsid w:val="00417D54"/>
    <w:rsid w:val="0042266D"/>
    <w:rsid w:val="00430C03"/>
    <w:rsid w:val="00430DB8"/>
    <w:rsid w:val="00433001"/>
    <w:rsid w:val="00440C74"/>
    <w:rsid w:val="00444734"/>
    <w:rsid w:val="00461124"/>
    <w:rsid w:val="00462163"/>
    <w:rsid w:val="004631E9"/>
    <w:rsid w:val="004709F3"/>
    <w:rsid w:val="004715DD"/>
    <w:rsid w:val="00477328"/>
    <w:rsid w:val="00482485"/>
    <w:rsid w:val="00482C48"/>
    <w:rsid w:val="00486D35"/>
    <w:rsid w:val="00486E2B"/>
    <w:rsid w:val="004871D0"/>
    <w:rsid w:val="00492A27"/>
    <w:rsid w:val="004A7945"/>
    <w:rsid w:val="004B4BBA"/>
    <w:rsid w:val="004B688C"/>
    <w:rsid w:val="004D2408"/>
    <w:rsid w:val="004D3AA7"/>
    <w:rsid w:val="004D6428"/>
    <w:rsid w:val="004E42AC"/>
    <w:rsid w:val="004F1175"/>
    <w:rsid w:val="004F1C42"/>
    <w:rsid w:val="004F4B64"/>
    <w:rsid w:val="004F7434"/>
    <w:rsid w:val="0050314F"/>
    <w:rsid w:val="0050329F"/>
    <w:rsid w:val="005058AF"/>
    <w:rsid w:val="00523521"/>
    <w:rsid w:val="00525107"/>
    <w:rsid w:val="00531C56"/>
    <w:rsid w:val="00532412"/>
    <w:rsid w:val="00533CBD"/>
    <w:rsid w:val="00540FCD"/>
    <w:rsid w:val="00542755"/>
    <w:rsid w:val="00551419"/>
    <w:rsid w:val="00561BB9"/>
    <w:rsid w:val="00575A0A"/>
    <w:rsid w:val="005832B7"/>
    <w:rsid w:val="00586BC8"/>
    <w:rsid w:val="00591915"/>
    <w:rsid w:val="005A6375"/>
    <w:rsid w:val="005B1353"/>
    <w:rsid w:val="005B6784"/>
    <w:rsid w:val="005B7E22"/>
    <w:rsid w:val="005C4F3B"/>
    <w:rsid w:val="005D1C26"/>
    <w:rsid w:val="005D43BF"/>
    <w:rsid w:val="005E0690"/>
    <w:rsid w:val="005F5B12"/>
    <w:rsid w:val="005F65BA"/>
    <w:rsid w:val="005F7695"/>
    <w:rsid w:val="0060509A"/>
    <w:rsid w:val="00611EC5"/>
    <w:rsid w:val="00615BDF"/>
    <w:rsid w:val="00617721"/>
    <w:rsid w:val="0062271D"/>
    <w:rsid w:val="00630876"/>
    <w:rsid w:val="00636437"/>
    <w:rsid w:val="00645494"/>
    <w:rsid w:val="006521B4"/>
    <w:rsid w:val="00661AA8"/>
    <w:rsid w:val="00676F04"/>
    <w:rsid w:val="006801EA"/>
    <w:rsid w:val="00681026"/>
    <w:rsid w:val="00681924"/>
    <w:rsid w:val="00690EE1"/>
    <w:rsid w:val="00696D27"/>
    <w:rsid w:val="006A0290"/>
    <w:rsid w:val="006A6B77"/>
    <w:rsid w:val="006B11F3"/>
    <w:rsid w:val="006B3EDD"/>
    <w:rsid w:val="006B4739"/>
    <w:rsid w:val="006B57EF"/>
    <w:rsid w:val="006D33A9"/>
    <w:rsid w:val="006D5C04"/>
    <w:rsid w:val="006F1733"/>
    <w:rsid w:val="006F532D"/>
    <w:rsid w:val="00704755"/>
    <w:rsid w:val="00705E52"/>
    <w:rsid w:val="00715B46"/>
    <w:rsid w:val="00721FAA"/>
    <w:rsid w:val="00727784"/>
    <w:rsid w:val="00730065"/>
    <w:rsid w:val="00734F0B"/>
    <w:rsid w:val="007364E1"/>
    <w:rsid w:val="00747DD0"/>
    <w:rsid w:val="00764107"/>
    <w:rsid w:val="007647C9"/>
    <w:rsid w:val="00775599"/>
    <w:rsid w:val="00776598"/>
    <w:rsid w:val="007836C1"/>
    <w:rsid w:val="00783A24"/>
    <w:rsid w:val="00787A5C"/>
    <w:rsid w:val="00794AD4"/>
    <w:rsid w:val="00795062"/>
    <w:rsid w:val="0079554C"/>
    <w:rsid w:val="007A07BF"/>
    <w:rsid w:val="007A42D4"/>
    <w:rsid w:val="007B6A45"/>
    <w:rsid w:val="007C2E75"/>
    <w:rsid w:val="007C4E5E"/>
    <w:rsid w:val="007E06D8"/>
    <w:rsid w:val="007E2A7D"/>
    <w:rsid w:val="007E72AB"/>
    <w:rsid w:val="007F760E"/>
    <w:rsid w:val="00800DC6"/>
    <w:rsid w:val="008123A1"/>
    <w:rsid w:val="0083072D"/>
    <w:rsid w:val="00836077"/>
    <w:rsid w:val="00841590"/>
    <w:rsid w:val="008423B1"/>
    <w:rsid w:val="00845138"/>
    <w:rsid w:val="00867382"/>
    <w:rsid w:val="00870685"/>
    <w:rsid w:val="00871655"/>
    <w:rsid w:val="00874AE1"/>
    <w:rsid w:val="00882A04"/>
    <w:rsid w:val="00883F02"/>
    <w:rsid w:val="00885D97"/>
    <w:rsid w:val="008909EB"/>
    <w:rsid w:val="008941AE"/>
    <w:rsid w:val="00894DA8"/>
    <w:rsid w:val="008A356F"/>
    <w:rsid w:val="008E14A6"/>
    <w:rsid w:val="008E2656"/>
    <w:rsid w:val="008E3B0A"/>
    <w:rsid w:val="008E4381"/>
    <w:rsid w:val="008E5F55"/>
    <w:rsid w:val="008F0132"/>
    <w:rsid w:val="008F2186"/>
    <w:rsid w:val="008F32B4"/>
    <w:rsid w:val="00903110"/>
    <w:rsid w:val="00904292"/>
    <w:rsid w:val="00904B09"/>
    <w:rsid w:val="00906D70"/>
    <w:rsid w:val="009077A6"/>
    <w:rsid w:val="00907948"/>
    <w:rsid w:val="00914F25"/>
    <w:rsid w:val="009224A1"/>
    <w:rsid w:val="00943CB1"/>
    <w:rsid w:val="009443C7"/>
    <w:rsid w:val="00950F9F"/>
    <w:rsid w:val="00951EE5"/>
    <w:rsid w:val="0099367D"/>
    <w:rsid w:val="009A1E35"/>
    <w:rsid w:val="009A70C5"/>
    <w:rsid w:val="009B2FC7"/>
    <w:rsid w:val="009B6991"/>
    <w:rsid w:val="009C086D"/>
    <w:rsid w:val="009C6BC8"/>
    <w:rsid w:val="009D108B"/>
    <w:rsid w:val="009D7557"/>
    <w:rsid w:val="009E1605"/>
    <w:rsid w:val="009E3A65"/>
    <w:rsid w:val="009F2D4B"/>
    <w:rsid w:val="009F5BD5"/>
    <w:rsid w:val="00A00C45"/>
    <w:rsid w:val="00A06A83"/>
    <w:rsid w:val="00A108EE"/>
    <w:rsid w:val="00A17CD3"/>
    <w:rsid w:val="00A32774"/>
    <w:rsid w:val="00A46D6C"/>
    <w:rsid w:val="00A64124"/>
    <w:rsid w:val="00A65E7C"/>
    <w:rsid w:val="00A7298A"/>
    <w:rsid w:val="00A7308F"/>
    <w:rsid w:val="00A74F69"/>
    <w:rsid w:val="00A8311F"/>
    <w:rsid w:val="00AA034A"/>
    <w:rsid w:val="00AA7205"/>
    <w:rsid w:val="00AB1BFD"/>
    <w:rsid w:val="00AB2DA9"/>
    <w:rsid w:val="00AB4522"/>
    <w:rsid w:val="00AD5025"/>
    <w:rsid w:val="00AD763C"/>
    <w:rsid w:val="00AF1C5E"/>
    <w:rsid w:val="00AF42A6"/>
    <w:rsid w:val="00AF53BC"/>
    <w:rsid w:val="00B03036"/>
    <w:rsid w:val="00B066B6"/>
    <w:rsid w:val="00B15A11"/>
    <w:rsid w:val="00B2640F"/>
    <w:rsid w:val="00B27671"/>
    <w:rsid w:val="00B31C36"/>
    <w:rsid w:val="00B31FA7"/>
    <w:rsid w:val="00B35622"/>
    <w:rsid w:val="00B37063"/>
    <w:rsid w:val="00B41427"/>
    <w:rsid w:val="00B41658"/>
    <w:rsid w:val="00B432D8"/>
    <w:rsid w:val="00B46CA0"/>
    <w:rsid w:val="00B54793"/>
    <w:rsid w:val="00B56508"/>
    <w:rsid w:val="00B57150"/>
    <w:rsid w:val="00B6025C"/>
    <w:rsid w:val="00B623A9"/>
    <w:rsid w:val="00B641B8"/>
    <w:rsid w:val="00B6493C"/>
    <w:rsid w:val="00B7215C"/>
    <w:rsid w:val="00B82C1C"/>
    <w:rsid w:val="00B858BA"/>
    <w:rsid w:val="00B9065F"/>
    <w:rsid w:val="00B90836"/>
    <w:rsid w:val="00BA6ED5"/>
    <w:rsid w:val="00BA7A99"/>
    <w:rsid w:val="00BA7B3B"/>
    <w:rsid w:val="00BA7BEE"/>
    <w:rsid w:val="00BC0DB4"/>
    <w:rsid w:val="00BC6B49"/>
    <w:rsid w:val="00BC6D2B"/>
    <w:rsid w:val="00BD3AD0"/>
    <w:rsid w:val="00BE20EE"/>
    <w:rsid w:val="00BE2BC5"/>
    <w:rsid w:val="00BE5764"/>
    <w:rsid w:val="00BF756F"/>
    <w:rsid w:val="00BF79E7"/>
    <w:rsid w:val="00C10EC1"/>
    <w:rsid w:val="00C157DA"/>
    <w:rsid w:val="00C42962"/>
    <w:rsid w:val="00C53B95"/>
    <w:rsid w:val="00C6413F"/>
    <w:rsid w:val="00C65B83"/>
    <w:rsid w:val="00C75647"/>
    <w:rsid w:val="00C847B8"/>
    <w:rsid w:val="00C86ACC"/>
    <w:rsid w:val="00C91F08"/>
    <w:rsid w:val="00C926B6"/>
    <w:rsid w:val="00C938C9"/>
    <w:rsid w:val="00C95248"/>
    <w:rsid w:val="00CA3068"/>
    <w:rsid w:val="00CA3504"/>
    <w:rsid w:val="00CB02F8"/>
    <w:rsid w:val="00CB07FC"/>
    <w:rsid w:val="00CB429D"/>
    <w:rsid w:val="00CC52C2"/>
    <w:rsid w:val="00CD04FB"/>
    <w:rsid w:val="00CE1FBD"/>
    <w:rsid w:val="00CE353D"/>
    <w:rsid w:val="00CE55D9"/>
    <w:rsid w:val="00D02051"/>
    <w:rsid w:val="00D03935"/>
    <w:rsid w:val="00D25870"/>
    <w:rsid w:val="00D3382F"/>
    <w:rsid w:val="00D3631F"/>
    <w:rsid w:val="00D3690D"/>
    <w:rsid w:val="00D40281"/>
    <w:rsid w:val="00D41C96"/>
    <w:rsid w:val="00D44056"/>
    <w:rsid w:val="00D56892"/>
    <w:rsid w:val="00D625E9"/>
    <w:rsid w:val="00D6350D"/>
    <w:rsid w:val="00D7008F"/>
    <w:rsid w:val="00D76698"/>
    <w:rsid w:val="00D85687"/>
    <w:rsid w:val="00DB4F05"/>
    <w:rsid w:val="00DC33F3"/>
    <w:rsid w:val="00DC414C"/>
    <w:rsid w:val="00DE08DA"/>
    <w:rsid w:val="00DE3249"/>
    <w:rsid w:val="00DE45ED"/>
    <w:rsid w:val="00DF4B97"/>
    <w:rsid w:val="00DF5364"/>
    <w:rsid w:val="00E1231C"/>
    <w:rsid w:val="00E13C87"/>
    <w:rsid w:val="00E162DB"/>
    <w:rsid w:val="00E20427"/>
    <w:rsid w:val="00E36B29"/>
    <w:rsid w:val="00E41ABE"/>
    <w:rsid w:val="00E44C0C"/>
    <w:rsid w:val="00E54381"/>
    <w:rsid w:val="00E636D7"/>
    <w:rsid w:val="00E63F1E"/>
    <w:rsid w:val="00E70E4A"/>
    <w:rsid w:val="00E7118F"/>
    <w:rsid w:val="00E823BD"/>
    <w:rsid w:val="00E82835"/>
    <w:rsid w:val="00E96166"/>
    <w:rsid w:val="00E97405"/>
    <w:rsid w:val="00EA08DC"/>
    <w:rsid w:val="00EA5A67"/>
    <w:rsid w:val="00EC1C96"/>
    <w:rsid w:val="00EC35D3"/>
    <w:rsid w:val="00EC5806"/>
    <w:rsid w:val="00EC59C7"/>
    <w:rsid w:val="00EC628F"/>
    <w:rsid w:val="00EC7435"/>
    <w:rsid w:val="00ED0882"/>
    <w:rsid w:val="00ED1850"/>
    <w:rsid w:val="00ED5E2B"/>
    <w:rsid w:val="00EE2229"/>
    <w:rsid w:val="00EE3279"/>
    <w:rsid w:val="00EF06F2"/>
    <w:rsid w:val="00EF17CE"/>
    <w:rsid w:val="00EF4156"/>
    <w:rsid w:val="00EF50A6"/>
    <w:rsid w:val="00EF6248"/>
    <w:rsid w:val="00F03B94"/>
    <w:rsid w:val="00F043BB"/>
    <w:rsid w:val="00F22D06"/>
    <w:rsid w:val="00F303C0"/>
    <w:rsid w:val="00F32721"/>
    <w:rsid w:val="00F3614F"/>
    <w:rsid w:val="00F506FE"/>
    <w:rsid w:val="00F51F44"/>
    <w:rsid w:val="00F55914"/>
    <w:rsid w:val="00F560C7"/>
    <w:rsid w:val="00F57F05"/>
    <w:rsid w:val="00F67E65"/>
    <w:rsid w:val="00F70ED7"/>
    <w:rsid w:val="00F74AE0"/>
    <w:rsid w:val="00F74FD6"/>
    <w:rsid w:val="00F82007"/>
    <w:rsid w:val="00F8383B"/>
    <w:rsid w:val="00F8625C"/>
    <w:rsid w:val="00F90065"/>
    <w:rsid w:val="00F940F9"/>
    <w:rsid w:val="00FA250C"/>
    <w:rsid w:val="00FA61C7"/>
    <w:rsid w:val="00FB3E39"/>
    <w:rsid w:val="00FC3784"/>
    <w:rsid w:val="00FD7631"/>
    <w:rsid w:val="00FD7B1F"/>
    <w:rsid w:val="00FF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C66D9"/>
  <w15:chartTrackingRefBased/>
  <w15:docId w15:val="{F65B47D1-0364-F544-90B8-A7B1FC6F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427"/>
    <w:pPr>
      <w:spacing w:before="100" w:beforeAutospacing="1" w:after="100" w:afterAutospacing="1" w:line="360" w:lineRule="auto"/>
      <w:jc w:val="both"/>
    </w:pPr>
    <w:rPr>
      <w:rFonts w:ascii="Times" w:eastAsia="Times New Roman" w:hAnsi="Times" w:cs="Times New Roman"/>
      <w:color w:val="000000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36077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40"/>
      <w:szCs w:val="40"/>
      <w:lang w:val="pt-BR"/>
    </w:rPr>
  </w:style>
  <w:style w:type="paragraph" w:styleId="Ttulo2">
    <w:name w:val="heading 2"/>
    <w:basedOn w:val="Normal"/>
    <w:link w:val="Ttulo2Char"/>
    <w:uiPriority w:val="9"/>
    <w:qFormat/>
    <w:rsid w:val="00551419"/>
    <w:pPr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551419"/>
    <w:pPr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B3247"/>
  </w:style>
  <w:style w:type="character" w:styleId="Hyperlink">
    <w:name w:val="Hyperlink"/>
    <w:basedOn w:val="Fontepargpadro"/>
    <w:uiPriority w:val="99"/>
    <w:unhideWhenUsed/>
    <w:rsid w:val="001B3247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551419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551419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unhideWhenUsed/>
    <w:rsid w:val="00551419"/>
  </w:style>
  <w:style w:type="character" w:styleId="Forte">
    <w:name w:val="Strong"/>
    <w:basedOn w:val="Fontepargpadro"/>
    <w:uiPriority w:val="22"/>
    <w:qFormat/>
    <w:rsid w:val="005D43BF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B90836"/>
    <w:rPr>
      <w:color w:val="954F72"/>
      <w:u w:val="single"/>
    </w:rPr>
  </w:style>
  <w:style w:type="paragraph" w:customStyle="1" w:styleId="msonormal0">
    <w:name w:val="msonormal"/>
    <w:basedOn w:val="Normal"/>
    <w:rsid w:val="00B90836"/>
  </w:style>
  <w:style w:type="character" w:styleId="Refdecomentrio">
    <w:name w:val="annotation reference"/>
    <w:basedOn w:val="Fontepargpadro"/>
    <w:uiPriority w:val="99"/>
    <w:semiHidden/>
    <w:unhideWhenUsed/>
    <w:rsid w:val="00B9083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90836"/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9083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9083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90836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F450F"/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F450F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0F450F"/>
    <w:rPr>
      <w:vertAlign w:val="superscript"/>
    </w:rPr>
  </w:style>
  <w:style w:type="character" w:styleId="nfase">
    <w:name w:val="Emphasis"/>
    <w:basedOn w:val="Fontepargpadro"/>
    <w:uiPriority w:val="20"/>
    <w:qFormat/>
    <w:rsid w:val="00B641B8"/>
    <w:rPr>
      <w:i/>
      <w:iCs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623A9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836077"/>
    <w:rPr>
      <w:rFonts w:ascii="Times" w:eastAsiaTheme="majorEastAsia" w:hAnsi="Times" w:cstheme="majorBidi"/>
      <w:color w:val="2F5496" w:themeColor="accent1" w:themeShade="BF"/>
      <w:kern w:val="0"/>
      <w:sz w:val="40"/>
      <w:szCs w:val="40"/>
      <w:lang w:val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8123A1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123A1"/>
    <w:rPr>
      <w:rFonts w:ascii="Times New Roman" w:eastAsia="Times New Roman" w:hAnsi="Times New Roman" w:cs="Times New Roman"/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123A1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8123A1"/>
    <w:rPr>
      <w:rFonts w:ascii="Times New Roman" w:eastAsia="Times New Roman" w:hAnsi="Times New Roman" w:cs="Times New Roman"/>
      <w:kern w:val="0"/>
      <w14:ligatures w14:val="none"/>
    </w:rPr>
  </w:style>
  <w:style w:type="character" w:styleId="nfaseSutil">
    <w:name w:val="Subtle Emphasis"/>
    <w:basedOn w:val="Fontepargpadro"/>
    <w:uiPriority w:val="19"/>
    <w:qFormat/>
    <w:rsid w:val="00C53B9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9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8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pea.gov.br/cartadeconjuntura/wp-content/uploads/2025/07/250701_cc_67_nota_26_visao_geral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oec.world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observatorio@puc-campinas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CBCB83-21C1-4383-8449-C3385C539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17</Pages>
  <Words>4212</Words>
  <Characters>22745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Ricardo da Silva Oliveira</dc:creator>
  <cp:keywords/>
  <dc:description/>
  <cp:lastModifiedBy>DANIEL BERTAGNOLI ROCHA</cp:lastModifiedBy>
  <cp:revision>1</cp:revision>
  <dcterms:created xsi:type="dcterms:W3CDTF">2025-08-07T17:40:00Z</dcterms:created>
  <dcterms:modified xsi:type="dcterms:W3CDTF">2025-08-21T19:12:00Z</dcterms:modified>
</cp:coreProperties>
</file>